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NURSEFLEX LTD</w:t>
      </w:r>
    </w:p>
    <w:p>
      <w:pPr>
        <w:pStyle w:val="Title"/>
      </w:pPr>
      <w:r>
        <w:t>Registered Nurse Assignment Role Description</w:t>
      </w:r>
    </w:p>
    <w:p>
      <w:r>
        <w:t>NF UK R01 | Template version 1.1 | 26 October 2026</w:t>
      </w:r>
    </w:p>
    <w:p>
      <w:r>
        <w:t>Template for completion and approval before individual issue. Uncompleted copies do not form an agreement. Blue bracketed fields are the particulars to enter; the clauses below contain the substantive terms.</w:t>
      </w:r>
    </w:p>
    <w:p>
      <w:pPr>
        <w:pStyle w:val="Heading1"/>
      </w:pPr>
      <w:r>
        <w:t>Particulars</w:t>
      </w:r>
    </w:p>
    <w:tbl>
      <w:tblPr>
        <w:tblW w:type="auto" w:w="0"/>
        <w:tblLayout w:type="fixed"/>
        <w:tblLook w:firstColumn="1" w:firstRow="1" w:lastColumn="0" w:lastRow="0" w:noHBand="0" w:noVBand="1" w:val="04A0"/>
      </w:tblPr>
      <w:tblGrid>
        <w:gridCol w:w="2952"/>
        <w:gridCol w:w="6840"/>
      </w:tblGrid>
      <w:tr>
        <w:trPr>
          <w:cantSplit/>
          <w:cantSplit/>
        </w:trPr>
        <w:tc>
          <w:tcPr>
            <w:tcW w:type="dxa" w:w="2952"/>
            <w:tcMar>
              <w:top w:w="90" w:type="dxa"/>
              <w:left w:w="90" w:type="dxa"/>
              <w:bottom w:w="90" w:type="dxa"/>
              <w:right w:w="90" w:type="dxa"/>
            </w:tcMar>
            <w:shd w:fill="EEF2F5"/>
          </w:tcPr>
          <w:p>
            <w:pPr>
              <w:spacing w:after="60" w:before="40"/>
            </w:pPr>
            <w:r>
              <w:rPr>
                <w:sz w:val="18"/>
              </w:rPr>
              <w:t>Worker and registration field</w:t>
            </w:r>
          </w:p>
        </w:tc>
        <w:tc>
          <w:tcPr>
            <w:tcW w:type="dxa" w:w="6840"/>
            <w:tcMar>
              <w:top w:w="90" w:type="dxa"/>
              <w:left w:w="90" w:type="dxa"/>
              <w:bottom w:w="90" w:type="dxa"/>
              <w:right w:w="90" w:type="dxa"/>
            </w:tcMar>
          </w:tcPr>
          <w:p>
            <w:pPr>
              <w:spacing w:after="60" w:before="40"/>
            </w:pPr>
            <w:r>
              <w:rPr>
                <w:color w:val="075C81"/>
                <w:sz w:val="18"/>
              </w:rPr>
              <w:t>{{worker_name}} / {{registration_field}}</w:t>
            </w:r>
          </w:p>
        </w:tc>
      </w:tr>
      <w:tr>
        <w:trPr>
          <w:cantSplit/>
          <w:cantSplit/>
        </w:trPr>
        <w:tc>
          <w:tcPr>
            <w:tcW w:type="dxa" w:w="2952"/>
            <w:tcMar>
              <w:top w:w="90" w:type="dxa"/>
              <w:left w:w="90" w:type="dxa"/>
              <w:bottom w:w="90" w:type="dxa"/>
              <w:right w:w="90" w:type="dxa"/>
            </w:tcMar>
            <w:shd w:fill="EEF2F5"/>
          </w:tcPr>
          <w:p>
            <w:pPr>
              <w:spacing w:after="60" w:before="40"/>
            </w:pPr>
            <w:r>
              <w:rPr>
                <w:sz w:val="18"/>
              </w:rPr>
              <w:t>Hirer site and unit</w:t>
            </w:r>
          </w:p>
        </w:tc>
        <w:tc>
          <w:tcPr>
            <w:tcW w:type="dxa" w:w="6840"/>
            <w:tcMar>
              <w:top w:w="90" w:type="dxa"/>
              <w:left w:w="90" w:type="dxa"/>
              <w:bottom w:w="90" w:type="dxa"/>
              <w:right w:w="90" w:type="dxa"/>
            </w:tcMar>
          </w:tcPr>
          <w:p>
            <w:pPr>
              <w:spacing w:after="60" w:before="40"/>
            </w:pPr>
            <w:r>
              <w:rPr>
                <w:color w:val="075C81"/>
                <w:sz w:val="18"/>
              </w:rPr>
              <w:t>{{site_and_unit}}</w:t>
            </w:r>
          </w:p>
        </w:tc>
      </w:tr>
      <w:tr>
        <w:trPr>
          <w:cantSplit/>
          <w:cantSplit/>
        </w:trPr>
        <w:tc>
          <w:tcPr>
            <w:tcW w:type="dxa" w:w="2952"/>
            <w:tcMar>
              <w:top w:w="90" w:type="dxa"/>
              <w:left w:w="90" w:type="dxa"/>
              <w:bottom w:w="90" w:type="dxa"/>
              <w:right w:w="90" w:type="dxa"/>
            </w:tcMar>
            <w:shd w:fill="EEF2F5"/>
          </w:tcPr>
          <w:p>
            <w:pPr>
              <w:spacing w:after="60" w:before="40"/>
            </w:pPr>
            <w:r>
              <w:rPr>
                <w:sz w:val="18"/>
              </w:rPr>
              <w:t>Role grade and specialty</w:t>
            </w:r>
          </w:p>
        </w:tc>
        <w:tc>
          <w:tcPr>
            <w:tcW w:type="dxa" w:w="6840"/>
            <w:tcMar>
              <w:top w:w="90" w:type="dxa"/>
              <w:left w:w="90" w:type="dxa"/>
              <w:bottom w:w="90" w:type="dxa"/>
              <w:right w:w="90" w:type="dxa"/>
            </w:tcMar>
          </w:tcPr>
          <w:p>
            <w:pPr>
              <w:spacing w:after="60" w:before="40"/>
            </w:pPr>
            <w:r>
              <w:rPr>
                <w:color w:val="075C81"/>
                <w:sz w:val="18"/>
              </w:rPr>
              <w:t>{{role_grade_specialty}}</w:t>
            </w:r>
          </w:p>
        </w:tc>
      </w:tr>
      <w:tr>
        <w:trPr>
          <w:cantSplit/>
          <w:cantSplit/>
        </w:trPr>
        <w:tc>
          <w:tcPr>
            <w:tcW w:type="dxa" w:w="2952"/>
            <w:tcMar>
              <w:top w:w="90" w:type="dxa"/>
              <w:left w:w="90" w:type="dxa"/>
              <w:bottom w:w="90" w:type="dxa"/>
              <w:right w:w="90" w:type="dxa"/>
            </w:tcMar>
            <w:shd w:fill="EEF2F5"/>
          </w:tcPr>
          <w:p>
            <w:pPr>
              <w:spacing w:after="60" w:before="40"/>
            </w:pPr>
            <w:r>
              <w:rPr>
                <w:sz w:val="18"/>
              </w:rPr>
              <w:t>Reports to and clinical escalation</w:t>
            </w:r>
          </w:p>
        </w:tc>
        <w:tc>
          <w:tcPr>
            <w:tcW w:type="dxa" w:w="6840"/>
            <w:tcMar>
              <w:top w:w="90" w:type="dxa"/>
              <w:left w:w="90" w:type="dxa"/>
              <w:bottom w:w="90" w:type="dxa"/>
              <w:right w:w="90" w:type="dxa"/>
            </w:tcMar>
          </w:tcPr>
          <w:p>
            <w:pPr>
              <w:spacing w:after="60" w:before="40"/>
            </w:pPr>
            <w:r>
              <w:rPr>
                <w:color w:val="075C81"/>
                <w:sz w:val="18"/>
              </w:rPr>
              <w:t>{{reporting_and_escalation}}</w:t>
            </w:r>
          </w:p>
        </w:tc>
      </w:tr>
      <w:tr>
        <w:trPr>
          <w:cantSplit/>
          <w:cantSplit/>
        </w:trPr>
        <w:tc>
          <w:tcPr>
            <w:tcW w:type="dxa" w:w="2952"/>
            <w:tcMar>
              <w:top w:w="90" w:type="dxa"/>
              <w:left w:w="90" w:type="dxa"/>
              <w:bottom w:w="90" w:type="dxa"/>
              <w:right w:w="90" w:type="dxa"/>
            </w:tcMar>
            <w:shd w:fill="EEF2F5"/>
          </w:tcPr>
          <w:p>
            <w:pPr>
              <w:spacing w:after="60" w:before="40"/>
            </w:pPr>
            <w:r>
              <w:rPr>
                <w:sz w:val="18"/>
              </w:rPr>
              <w:t>Required experience and verified skills</w:t>
            </w:r>
          </w:p>
        </w:tc>
        <w:tc>
          <w:tcPr>
            <w:tcW w:type="dxa" w:w="6840"/>
            <w:tcMar>
              <w:top w:w="90" w:type="dxa"/>
              <w:left w:w="90" w:type="dxa"/>
              <w:bottom w:w="90" w:type="dxa"/>
              <w:right w:w="90" w:type="dxa"/>
            </w:tcMar>
          </w:tcPr>
          <w:p>
            <w:pPr>
              <w:spacing w:after="60" w:before="40"/>
            </w:pPr>
            <w:r>
              <w:rPr>
                <w:color w:val="075C81"/>
                <w:sz w:val="18"/>
              </w:rPr>
              <w:t>{{experience_and_skills}}</w:t>
            </w:r>
          </w:p>
        </w:tc>
      </w:tr>
      <w:tr>
        <w:trPr>
          <w:cantSplit/>
          <w:cantSplit/>
        </w:trPr>
        <w:tc>
          <w:tcPr>
            <w:tcW w:type="dxa" w:w="2952"/>
            <w:tcMar>
              <w:top w:w="90" w:type="dxa"/>
              <w:left w:w="90" w:type="dxa"/>
              <w:bottom w:w="90" w:type="dxa"/>
              <w:right w:w="90" w:type="dxa"/>
            </w:tcMar>
            <w:shd w:fill="EEF2F5"/>
          </w:tcPr>
          <w:p>
            <w:pPr>
              <w:spacing w:after="60" w:before="40"/>
            </w:pPr>
            <w:r>
              <w:rPr>
                <w:sz w:val="18"/>
              </w:rPr>
              <w:t>Approved specialist duties</w:t>
            </w:r>
          </w:p>
        </w:tc>
        <w:tc>
          <w:tcPr>
            <w:tcW w:type="dxa" w:w="6840"/>
            <w:tcMar>
              <w:top w:w="90" w:type="dxa"/>
              <w:left w:w="90" w:type="dxa"/>
              <w:bottom w:w="90" w:type="dxa"/>
              <w:right w:w="90" w:type="dxa"/>
            </w:tcMar>
          </w:tcPr>
          <w:p>
            <w:pPr>
              <w:spacing w:after="60" w:before="40"/>
            </w:pPr>
            <w:r>
              <w:rPr>
                <w:color w:val="075C81"/>
                <w:sz w:val="18"/>
              </w:rPr>
              <w:t>{{specialist_duties_or_none}}</w:t>
            </w:r>
          </w:p>
        </w:tc>
      </w:tr>
      <w:tr>
        <w:tc>
          <w:tcPr>
            <w:tcW w:type="dxa" w:w="2952"/>
            <w:tcMar>
              <w:top w:w="90" w:type="dxa"/>
              <w:left w:w="90" w:type="dxa"/>
              <w:bottom w:w="90" w:type="dxa"/>
              <w:right w:w="90" w:type="dxa"/>
            </w:tcMar>
            <w:shd w:fill="EEF2F5"/>
          </w:tcPr>
          <w:p>
            <w:pPr>
              <w:spacing w:after="60" w:before="40"/>
            </w:pPr>
            <w:r>
              <w:rPr>
                <w:color w:val="000000"/>
                <w:sz w:val="18"/>
              </w:rPr>
              <w:t>Pay display and holiday method</w:t>
            </w:r>
          </w:p>
        </w:tc>
        <w:tc>
          <w:tcPr>
            <w:tcW w:type="dxa" w:w="6840"/>
            <w:tcMar>
              <w:top w:w="90" w:type="dxa"/>
              <w:left w:w="90" w:type="dxa"/>
              <w:bottom w:w="90" w:type="dxa"/>
              <w:right w:w="90" w:type="dxa"/>
            </w:tcMar>
          </w:tcPr>
          <w:p>
            <w:pPr>
              <w:spacing w:after="60" w:before="40"/>
            </w:pPr>
            <w:r>
              <w:rPr>
                <w:color w:val="075C81"/>
                <w:sz w:val="18"/>
              </w:rPr>
              <w:t>{{pay_model_notice}}</w:t>
            </w:r>
          </w:p>
        </w:tc>
      </w:tr>
    </w:tbl>
    <w:p/>
    <w:p>
      <w:pPr>
        <w:pStyle w:val="Heading1"/>
      </w:pPr>
      <w:r>
        <w:t>1 Purpose and accountability</w:t>
      </w:r>
    </w:p>
    <w:p>
      <w:r>
        <w:t>Provide safe, person-centred nursing care within the professional field, registration, competence and assignment scope. Maintain current appropriate registration and comply with the applicable professional code. Be accountable for your decisions and seek timely supervision or assistance when a task exceeds your competence or authority.</w:t>
      </w:r>
    </w:p>
    <w:p>
      <w:pPr>
        <w:pStyle w:val="Heading1"/>
      </w:pPr>
      <w:r>
        <w:t>2 Assessment planning delivery and review</w:t>
      </w:r>
    </w:p>
    <w:p>
      <w:r>
        <w:t>Assess needs and risks, contribute to person-centred plans, deliver authorised nursing interventions and evaluate outcomes. Recognise deterioration and escalate through the local clinical/emergency route. Respect consent, capacity, dignity and individual communication needs and document the assessment, action and response.</w:t>
      </w:r>
    </w:p>
    <w:p>
      <w:pPr>
        <w:pStyle w:val="Heading1"/>
      </w:pPr>
      <w:r>
        <w:t>3 Medicines and clinical procedures</w:t>
      </w:r>
    </w:p>
    <w:p>
      <w:r>
        <w:t>Administer or manage medicines and undertake procedures only when authorised, competent and supported by local policy and lawful direction. Check identity, prescription and allergies as appropriate and escalate omissions, errors, adverse events and unclear instructions. Specialist devices or procedures require explicit competence and assignment authorisation.</w:t>
      </w:r>
    </w:p>
    <w:p>
      <w:pPr>
        <w:pStyle w:val="Heading1"/>
      </w:pPr>
      <w:r>
        <w:t>4 Coordination supervision and records</w:t>
      </w:r>
    </w:p>
    <w:p>
      <w:r>
        <w:t>Communicate effectively at handover, coordinate with the multidisciplinary team and delegate only to appropriately competent people with suitable supervision. Keep accurate contemporaneous records, protect confidentiality and report incidents, safeguarding concerns and risks through the correct route. Do not conceal errors or falsify records.</w:t>
      </w:r>
    </w:p>
    <w:p>
      <w:pPr>
        <w:pStyle w:val="Heading1"/>
      </w:pPr>
      <w:r>
        <w:t>5 Requirements and working arrangements</w:t>
      </w:r>
    </w:p>
    <w:p>
      <w:r>
        <w:t>The confirmed assignment specifies required experience, training, safeguarding suitability, work permission, occupational fitness, relevant registration, local induction, staffing context, breaks and urgent contacts. The hirer provides local supervision and equipment. NurseFlex verifies the supply requirements relevant to the role. This description does not authorise work outside the professional field or guarantee insurance cover.</w:t>
      </w:r>
    </w:p>
    <w:p>
      <w:pPr>
        <w:pStyle w:val="Heading1"/>
      </w:pPr>
      <w:r>
        <w:t>6 Acknowledgement and changes</w:t>
      </w:r>
    </w:p>
    <w:p>
      <w:r>
        <w:t xml:space="preserve">The worker and hirer confirm the role and any specialist duties before deployment. Material changes require a revised role/booking confirmation and the necessary suitability checks. Worker acknowledgement </w:t>
      </w:r>
      <w:r>
        <w:rPr>
          <w:color w:val="075C81"/>
        </w:rPr>
        <w:t>{{worker_acknowledgement}}</w:t>
      </w:r>
      <w:r>
        <w:t xml:space="preserve">. Hirer role approval </w:t>
      </w:r>
      <w:r>
        <w:rPr>
          <w:color w:val="075C81"/>
        </w:rPr>
        <w:t>{{hirer_role_approval}}</w:t>
      </w:r>
      <w:r>
        <w:t>.</w:t>
      </w:r>
    </w:p>
    <w:p>
      <w:r>
        <w:br w:type="page"/>
      </w:r>
    </w:p>
    <w:p>
      <w:pPr>
        <w:pStyle w:val="Heading1"/>
        <w:keepNext/>
      </w:pPr>
      <w:r>
        <w:rPr>
          <w:color w:val="000000"/>
          <w:sz w:val="28"/>
        </w:rPr>
        <w:t>Current pay and pricing guidance</w:t>
      </w:r>
    </w:p>
    <w:p>
      <w:pPr>
        <w:spacing w:after="120"/>
      </w:pPr>
      <w:r>
        <w:rPr>
          <w:sz w:val="18"/>
        </w:rPr>
        <w:t>NurseFlex UK | New offers from 26 October 2026 | Weekly payday Friday</w:t>
      </w:r>
    </w:p>
    <w:p>
      <w:pPr>
        <w:spacing w:after="120"/>
      </w:pPr>
      <w:r>
        <w:rPr>
          <w:sz w:val="20"/>
        </w:rPr>
        <w:t>This guide explains the approved starting rates for new nurse, HCA and Support Worker offers. Individual engagement terms and accepted assignment particulars govern the actual pay and client price. Existing signed terms and accepted bookings are unchanged.</w:t>
      </w:r>
    </w:p>
    <w:p>
      <w:pPr>
        <w:pStyle w:val="Heading2"/>
        <w:keepNext/>
      </w:pPr>
      <w:r>
        <w:rPr>
          <w:color w:val="000000"/>
          <w:sz w:val="22"/>
        </w:rPr>
        <w:t>Staff gross hourly guide</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£24.00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£26.00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£27.00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£36.00</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£15.13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£16.25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£17.37</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£22.69</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£15.69</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£16.81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£17.93</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£23.53</w:t>
            </w:r>
          </w:p>
        </w:tc>
      </w:tr>
    </w:tbl>
    <w:p/>
    <w:p>
      <w:pPr>
        <w:spacing w:after="120"/>
      </w:pPr>
      <w:r>
        <w:rPr>
          <w:sz w:val="18"/>
        </w:rPr>
        <w:t>The table includes a 12.07% holiday component for eligible rolled-up arrangements. Basic and holiday are itemised separately; do not add holiday a second time. Weekday day basic rates are nurse £21.4152, HCA £13.50 and Support Worker £14.00. Exact basic rates are retained for payroll; pay-period rounding can produce penny differences from rounded hourly guides.</w:t>
      </w:r>
    </w:p>
    <w:p>
      <w:pPr>
        <w:pStyle w:val="Heading2"/>
        <w:keepNext/>
      </w:pPr>
      <w:r>
        <w:rPr>
          <w:color w:val="000000"/>
          <w:sz w:val="22"/>
        </w:rPr>
        <w:t>Standard client hourly proposals</w:t>
      </w:r>
    </w:p>
    <w:tbl>
      <w:tblPr>
        <w:tblW w:type="auto" w:w="0"/>
        <w:tblLayout w:type="fixed"/>
        <w:tblLook w:firstColumn="1" w:firstRow="1" w:lastColumn="0" w:lastRow="0" w:noHBand="0" w:noVBand="1" w:val="04A0"/>
      </w:tblPr>
      <w:tblGrid>
        <w:gridCol w:w="2880"/>
        <w:gridCol w:w="1512"/>
        <w:gridCol w:w="1512"/>
        <w:gridCol w:w="1512"/>
        <w:gridCol w:w="1512"/>
      </w:tblGrid>
      <w:tr>
        <w:trPr>
          <w:cantSplit/>
          <w:tblHeader/>
        </w:trPr>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left"/>
            </w:pPr>
            <w:r>
              <w:rPr>
                <w:b/>
                <w:color w:val="FFFFFF"/>
                <w:sz w:val="18"/>
              </w:rPr>
              <w:t>Role</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day</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Weekday night</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Weekend</w:t>
            </w:r>
          </w:p>
        </w:tc>
        <w:tc>
          <w:tcPr>
            <w:tcW w:type="dxa" w:w="1967"/>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173E4B"/>
          </w:tcPr>
          <w:p>
            <w:pPr>
              <w:spacing w:after="40" w:before="40"/>
              <w:jc w:val="center"/>
            </w:pPr>
            <w:r>
              <w:rPr>
                <w:b/>
                <w:color w:val="FFFFFF"/>
                <w:sz w:val="18"/>
              </w:rPr>
              <w:t>Bank holiday</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Nurse RGN or RMN</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£34.32</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£36.68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£37.86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£48.48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left"/>
            </w:pPr>
            <w:r>
              <w:rPr>
                <w:b w:val="0"/>
                <w:color w:val="000000"/>
                <w:sz w:val="18"/>
              </w:rPr>
              <w:t>HCA</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£21.85</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£23.18</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£24.50</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FFFFF"/>
          </w:tcPr>
          <w:p>
            <w:pPr>
              <w:spacing w:after="40" w:before="40"/>
              <w:jc w:val="center"/>
            </w:pPr>
            <w:r>
              <w:rPr>
                <w:b w:val="0"/>
                <w:color w:val="000000"/>
                <w:sz w:val="18"/>
              </w:rPr>
              <w:t>£30.78</w:t>
            </w:r>
          </w:p>
        </w:tc>
      </w:tr>
      <w:tr>
        <w:trPr>
          <w:cantSplit/>
        </w:trPr>
        <w:tc>
          <w:tcPr>
            <w:tcW w:type="dxa" w:w="2880"/>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left"/>
            </w:pPr>
            <w:r>
              <w:rPr>
                <w:b w:val="0"/>
                <w:color w:val="000000"/>
                <w:sz w:val="18"/>
              </w:rPr>
              <w:t>Support Worker</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£22.51</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£23.84</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£25.16</w:t>
            </w:r>
          </w:p>
        </w:tc>
        <w:tc>
          <w:tcPr>
            <w:tcW w:type="dxa" w:w="151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shd w:fill="F0F4F5"/>
          </w:tcPr>
          <w:p>
            <w:pPr>
              <w:spacing w:after="40" w:before="40"/>
              <w:jc w:val="center"/>
            </w:pPr>
            <w:r>
              <w:rPr>
                <w:b w:val="0"/>
                <w:color w:val="000000"/>
                <w:sz w:val="18"/>
              </w:rPr>
              <w:t>£31.77</w:t>
            </w:r>
          </w:p>
        </w:tc>
      </w:tr>
    </w:tbl>
    <w:p/>
    <w:p>
      <w:pPr>
        <w:spacing w:after="120"/>
      </w:pPr>
      <w:r>
        <w:rPr>
          <w:sz w:val="18"/>
        </w:rPr>
        <w:t>Client proposals include holiday and employer NI/pension provisions plus the service fee. Actual payroll liabilities use applicable thresholds and eligibility. VAT follows the recorded supply assessment; no blanket exemption is asserted. A proposal is not an agreed facility price.</w:t>
      </w:r>
    </w:p>
    <w:p>
      <w:pPr>
        <w:pStyle w:val="Heading2"/>
        <w:keepNext/>
      </w:pPr>
      <w:r>
        <w:rPr>
          <w:color w:val="000000"/>
          <w:sz w:val="22"/>
        </w:rPr>
        <w:t>Holiday eligibility and confirmed amounts</w:t>
      </w:r>
    </w:p>
    <w:p>
      <w:pPr>
        <w:spacing w:after="120"/>
      </w:pPr>
      <w:r>
        <w:rPr>
          <w:sz w:val="18"/>
        </w:rPr>
        <w:t>Rolled-up holiday pay requires an active PAYE profile, evidenced irregular-hours or part-year eligibility and a qualifying leave year. Bank status alone is insufficient. Regular-hours and accrued-holiday staff are paid for leave under their applicable terms; the holiday provision is not extra current shift cash.</w:t>
      </w:r>
    </w:p>
    <w:p>
      <w:pPr>
        <w:spacing w:after="120"/>
      </w:pPr>
      <w:r>
        <w:rPr>
          <w:sz w:val="18"/>
        </w:rPr>
        <w:t>For an eligible nurse, 12 paid hours at the new weekday minimum produce £256.98 basic plus £31.02 holiday = £288.00 gross before employee deductions. Unpaid breaks reduce paid hours. The example is not a net-pay or payment-date promise.</w:t>
      </w:r>
    </w:p>
    <w:p>
      <w:pPr>
        <w:spacing w:after="120"/>
      </w:pPr>
      <w:r>
        <w:rPr>
          <w:sz w:val="18"/>
        </w:rPr>
        <w:t>Use one category for each worked period: bank holiday, then weekend, then weekday night or day. Weekday night is 20:00–07:00, Europe/London. Cross-boundary hours need the applicable agreed rates; premiums do not stack.</w:t>
      </w:r>
    </w:p>
    <w:p>
      <w:pPr>
        <w:spacing w:after="120"/>
      </w:pPr>
      <w:r>
        <w:rPr>
          <w:sz w:val="16"/>
        </w:rPr>
        <w:t>Current guide: https://nurseflex.co.uk/pay-rates/ | Private staff guide: https://nurseflex.co.uk/dashboard/staff-rates/ | Questions: hello@nurseflex.co.uk</w:t>
      </w:r>
    </w:p>
    <w:sectPr w:rsidR="00FC693F" w:rsidRPr="0006063C" w:rsidSect="00034616">
      <w:footerReference w:type="default" r:id="rId9"/>
      <w:pgSz w:w="11909" w:h="16834"/>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NF UK R01 | v1.1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52536"/>
      <w:sz w:val="2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15253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Registered Nurse Assignment Role Description</dc:title>
  <dc:subject>Original template with current pay and pricing guidance dated 26 October 2026</dc:subject>
  <dc:creator>NurseFlex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