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NURSEFLEX LTD</w:t>
      </w:r>
    </w:p>
    <w:p>
      <w:pPr>
        <w:pStyle w:val="Title"/>
      </w:pPr>
      <w:r>
        <w:t>Provider Pricing and Commercial Schedule</w:t>
      </w:r>
    </w:p>
    <w:p>
      <w:r>
        <w:t>NF UK P02 | Template version 1.1 | 26 October 2026</w:t>
      </w:r>
    </w:p>
    <w:p>
      <w:r>
        <w:t>Template for completion and approval before individual issue. Uncompleted copies do not form an agreement. Blue bracketed fields are the particulars to enter; the clauses below contain the substantive terms.</w:t>
      </w:r>
    </w:p>
    <w:p>
      <w:pPr>
        <w:pStyle w:val="Heading1"/>
      </w:pPr>
      <w:r>
        <w:t>Particulars</w:t>
      </w:r>
    </w:p>
    <w:tbl>
      <w:tblPr>
        <w:tblW w:type="auto" w:w="0"/>
        <w:tblLayout w:type="fixed"/>
        <w:tblLook w:firstColumn="1" w:firstRow="1" w:lastColumn="0" w:lastRow="0" w:noHBand="0" w:noVBand="1" w:val="04A0"/>
      </w:tblPr>
      <w:tblGrid>
        <w:gridCol w:w="2952"/>
        <w:gridCol w:w="6840"/>
      </w:tblGrid>
      <w:tr>
        <w:trPr>
          <w:cantSplit/>
          <w:cantSplit/>
        </w:trPr>
        <w:tc>
          <w:tcPr>
            <w:tcW w:type="dxa" w:w="2952"/>
            <w:tcMar>
              <w:top w:w="90" w:type="dxa"/>
              <w:left w:w="90" w:type="dxa"/>
              <w:bottom w:w="90" w:type="dxa"/>
              <w:right w:w="90" w:type="dxa"/>
            </w:tcMar>
            <w:shd w:fill="EEF2F5"/>
          </w:tcPr>
          <w:p>
            <w:pPr>
              <w:spacing w:after="60" w:before="40"/>
            </w:pPr>
            <w:r>
              <w:rPr>
                <w:sz w:val="18"/>
              </w:rPr>
              <w:t>Provider and agreement reference</w:t>
            </w:r>
          </w:p>
        </w:tc>
        <w:tc>
          <w:tcPr>
            <w:tcW w:type="dxa" w:w="6840"/>
            <w:tcMar>
              <w:top w:w="90" w:type="dxa"/>
              <w:left w:w="90" w:type="dxa"/>
              <w:bottom w:w="90" w:type="dxa"/>
              <w:right w:w="90" w:type="dxa"/>
            </w:tcMar>
          </w:tcPr>
          <w:p>
            <w:pPr>
              <w:spacing w:after="60" w:before="40"/>
            </w:pPr>
            <w:r>
              <w:rPr>
                <w:color w:val="075C81"/>
                <w:sz w:val="18"/>
              </w:rPr>
              <w:t>{{provider_name}} / {{provider_agreement_reference}}</w:t>
            </w:r>
          </w:p>
        </w:tc>
      </w:tr>
      <w:tr>
        <w:trPr>
          <w:cantSplit/>
          <w:cantSplit/>
        </w:trPr>
        <w:tc>
          <w:tcPr>
            <w:tcW w:type="dxa" w:w="2952"/>
            <w:tcMar>
              <w:top w:w="90" w:type="dxa"/>
              <w:left w:w="90" w:type="dxa"/>
              <w:bottom w:w="90" w:type="dxa"/>
              <w:right w:w="90" w:type="dxa"/>
            </w:tcMar>
            <w:shd w:fill="EEF2F5"/>
          </w:tcPr>
          <w:p>
            <w:pPr>
              <w:spacing w:after="60" w:before="40"/>
            </w:pPr>
            <w:r>
              <w:rPr>
                <w:sz w:val="18"/>
              </w:rPr>
              <w:t>Schedule version and effective dates</w:t>
            </w:r>
          </w:p>
        </w:tc>
        <w:tc>
          <w:tcPr>
            <w:tcW w:type="dxa" w:w="6840"/>
            <w:tcMar>
              <w:top w:w="90" w:type="dxa"/>
              <w:left w:w="90" w:type="dxa"/>
              <w:bottom w:w="90" w:type="dxa"/>
              <w:right w:w="90" w:type="dxa"/>
            </w:tcMar>
          </w:tcPr>
          <w:p>
            <w:pPr>
              <w:spacing w:after="60" w:before="40"/>
            </w:pPr>
            <w:r>
              <w:rPr>
                <w:color w:val="075C81"/>
                <w:sz w:val="18"/>
              </w:rPr>
              <w:t>{{schedule_version}} / {{effective_from}} to {{effective_to}}</w:t>
            </w:r>
          </w:p>
        </w:tc>
      </w:tr>
      <w:tr>
        <w:trPr>
          <w:cantSplit/>
          <w:cantSplit/>
        </w:trPr>
        <w:tc>
          <w:tcPr>
            <w:tcW w:type="dxa" w:w="2952"/>
            <w:tcMar>
              <w:top w:w="90" w:type="dxa"/>
              <w:left w:w="90" w:type="dxa"/>
              <w:bottom w:w="90" w:type="dxa"/>
              <w:right w:w="90" w:type="dxa"/>
            </w:tcMar>
            <w:shd w:fill="EEF2F5"/>
          </w:tcPr>
          <w:p>
            <w:pPr>
              <w:spacing w:after="60" w:before="40"/>
            </w:pPr>
            <w:r>
              <w:rPr>
                <w:sz w:val="18"/>
              </w:rPr>
              <w:t>Sites and units covered</w:t>
            </w:r>
          </w:p>
        </w:tc>
        <w:tc>
          <w:tcPr>
            <w:tcW w:type="dxa" w:w="6840"/>
            <w:tcMar>
              <w:top w:w="90" w:type="dxa"/>
              <w:left w:w="90" w:type="dxa"/>
              <w:bottom w:w="90" w:type="dxa"/>
              <w:right w:w="90" w:type="dxa"/>
            </w:tcMar>
          </w:tcPr>
          <w:p>
            <w:pPr>
              <w:spacing w:after="60" w:before="40"/>
            </w:pPr>
            <w:r>
              <w:rPr>
                <w:color w:val="075C81"/>
                <w:sz w:val="18"/>
              </w:rPr>
              <w:t>{{approved_sites}}</w:t>
            </w:r>
          </w:p>
        </w:tc>
      </w:tr>
      <w:tr>
        <w:trPr>
          <w:cantSplit/>
          <w:cantSplit/>
        </w:trPr>
        <w:tc>
          <w:tcPr>
            <w:tcW w:type="dxa" w:w="2952"/>
            <w:tcMar>
              <w:top w:w="90" w:type="dxa"/>
              <w:left w:w="90" w:type="dxa"/>
              <w:bottom w:w="90" w:type="dxa"/>
              <w:right w:w="90" w:type="dxa"/>
            </w:tcMar>
            <w:shd w:fill="EEF2F5"/>
          </w:tcPr>
          <w:p>
            <w:pPr>
              <w:spacing w:after="60" w:before="40"/>
            </w:pPr>
            <w:r>
              <w:rPr>
                <w:sz w:val="18"/>
              </w:rPr>
              <w:t>Role grade and shift category</w:t>
            </w:r>
          </w:p>
        </w:tc>
        <w:tc>
          <w:tcPr>
            <w:tcW w:type="dxa" w:w="6840"/>
            <w:tcMar>
              <w:top w:w="90" w:type="dxa"/>
              <w:left w:w="90" w:type="dxa"/>
              <w:bottom w:w="90" w:type="dxa"/>
              <w:right w:w="90" w:type="dxa"/>
            </w:tcMar>
          </w:tcPr>
          <w:p>
            <w:pPr>
              <w:spacing w:after="60" w:before="40"/>
            </w:pPr>
            <w:r>
              <w:rPr>
                <w:color w:val="075C81"/>
                <w:sz w:val="18"/>
              </w:rPr>
              <w:t>{{role_grade_shift_category}}</w:t>
            </w:r>
          </w:p>
        </w:tc>
      </w:tr>
      <w:tr>
        <w:trPr>
          <w:cantSplit/>
          <w:cantSplit/>
        </w:trPr>
        <w:tc>
          <w:tcPr>
            <w:tcW w:type="dxa" w:w="2952"/>
            <w:tcMar>
              <w:top w:w="90" w:type="dxa"/>
              <w:left w:w="90" w:type="dxa"/>
              <w:bottom w:w="90" w:type="dxa"/>
              <w:right w:w="90" w:type="dxa"/>
            </w:tcMar>
            <w:shd w:fill="EEF2F5"/>
          </w:tcPr>
          <w:p>
            <w:pPr>
              <w:spacing w:after="60" w:before="40"/>
            </w:pPr>
            <w:r>
              <w:rPr>
                <w:sz w:val="18"/>
              </w:rPr>
              <w:t>Worker basic pay rate</w:t>
            </w:r>
          </w:p>
        </w:tc>
        <w:tc>
          <w:tcPr>
            <w:tcW w:type="dxa" w:w="6840"/>
            <w:tcMar>
              <w:top w:w="90" w:type="dxa"/>
              <w:left w:w="90" w:type="dxa"/>
              <w:bottom w:w="90" w:type="dxa"/>
              <w:right w:w="90" w:type="dxa"/>
            </w:tcMar>
          </w:tcPr>
          <w:p>
            <w:pPr>
              <w:spacing w:after="60" w:before="40"/>
            </w:pPr>
            <w:r>
              <w:rPr>
                <w:color w:val="075C81"/>
                <w:sz w:val="18"/>
              </w:rPr>
              <w:t>GBP {{worker_basic_rate}} per hour</w:t>
            </w:r>
          </w:p>
        </w:tc>
      </w:tr>
      <w:tr>
        <w:trPr>
          <w:cantSplit/>
          <w:cantSplit/>
        </w:trPr>
        <w:tc>
          <w:tcPr>
            <w:tcW w:type="dxa" w:w="2952"/>
            <w:tcMar>
              <w:top w:w="90" w:type="dxa"/>
              <w:left w:w="90" w:type="dxa"/>
              <w:bottom w:w="90" w:type="dxa"/>
              <w:right w:w="90" w:type="dxa"/>
            </w:tcMar>
            <w:shd w:fill="EEF2F5"/>
          </w:tcPr>
          <w:p>
            <w:pPr>
              <w:spacing w:after="60" w:before="40"/>
            </w:pPr>
            <w:r>
              <w:rPr>
                <w:sz w:val="18"/>
              </w:rPr>
              <w:t>Holiday and employer cost treatment</w:t>
            </w:r>
          </w:p>
        </w:tc>
        <w:tc>
          <w:tcPr>
            <w:tcW w:type="dxa" w:w="6840"/>
            <w:tcMar>
              <w:top w:w="90" w:type="dxa"/>
              <w:left w:w="90" w:type="dxa"/>
              <w:bottom w:w="90" w:type="dxa"/>
              <w:right w:w="90" w:type="dxa"/>
            </w:tcMar>
          </w:tcPr>
          <w:p>
            <w:pPr>
              <w:spacing w:after="60" w:before="40"/>
            </w:pPr>
            <w:r>
              <w:rPr>
                <w:color w:val="075C81"/>
                <w:sz w:val="18"/>
              </w:rPr>
              <w:t>{{holiday_employer_costs}}</w:t>
            </w:r>
          </w:p>
        </w:tc>
      </w:tr>
      <w:tr>
        <w:trPr>
          <w:cantSplit/>
          <w:cantSplit/>
        </w:trPr>
        <w:tc>
          <w:tcPr>
            <w:tcW w:type="dxa" w:w="2952"/>
            <w:tcMar>
              <w:top w:w="90" w:type="dxa"/>
              <w:left w:w="90" w:type="dxa"/>
              <w:bottom w:w="90" w:type="dxa"/>
              <w:right w:w="90" w:type="dxa"/>
            </w:tcMar>
            <w:shd w:fill="EEF2F5"/>
          </w:tcPr>
          <w:p>
            <w:pPr>
              <w:spacing w:after="60" w:before="40"/>
            </w:pPr>
            <w:r>
              <w:rPr>
                <w:sz w:val="18"/>
              </w:rPr>
              <w:t>NurseFlex fee and charge calculation</w:t>
            </w:r>
          </w:p>
        </w:tc>
        <w:tc>
          <w:tcPr>
            <w:tcW w:type="dxa" w:w="6840"/>
            <w:tcMar>
              <w:top w:w="90" w:type="dxa"/>
              <w:left w:w="90" w:type="dxa"/>
              <w:bottom w:w="90" w:type="dxa"/>
              <w:right w:w="90" w:type="dxa"/>
            </w:tcMar>
          </w:tcPr>
          <w:p>
            <w:pPr>
              <w:spacing w:after="60" w:before="40"/>
            </w:pPr>
            <w:r>
              <w:rPr>
                <w:color w:val="075C81"/>
                <w:sz w:val="18"/>
              </w:rPr>
              <w:t>{{fee_and_charge_calculation}}</w:t>
            </w:r>
          </w:p>
        </w:tc>
      </w:tr>
      <w:tr>
        <w:trPr>
          <w:cantSplit/>
          <w:cantSplit/>
        </w:trPr>
        <w:tc>
          <w:tcPr>
            <w:tcW w:type="dxa" w:w="2952"/>
            <w:tcMar>
              <w:top w:w="90" w:type="dxa"/>
              <w:left w:w="90" w:type="dxa"/>
              <w:bottom w:w="90" w:type="dxa"/>
              <w:right w:w="90" w:type="dxa"/>
            </w:tcMar>
            <w:shd w:fill="EEF2F5"/>
          </w:tcPr>
          <w:p>
            <w:pPr>
              <w:spacing w:after="60" w:before="40"/>
            </w:pPr>
            <w:r>
              <w:rPr>
                <w:sz w:val="18"/>
              </w:rPr>
              <w:t>Total provider charge rate</w:t>
            </w:r>
          </w:p>
        </w:tc>
        <w:tc>
          <w:tcPr>
            <w:tcW w:type="dxa" w:w="6840"/>
            <w:tcMar>
              <w:top w:w="90" w:type="dxa"/>
              <w:left w:w="90" w:type="dxa"/>
              <w:bottom w:w="90" w:type="dxa"/>
              <w:right w:w="90" w:type="dxa"/>
            </w:tcMar>
          </w:tcPr>
          <w:p>
            <w:pPr>
              <w:spacing w:after="60" w:before="40"/>
            </w:pPr>
            <w:r>
              <w:rPr>
                <w:color w:val="075C81"/>
                <w:sz w:val="18"/>
              </w:rPr>
              <w:t>GBP {{provider_charge_rate}} per hour, excluding VAT if legally due</w:t>
            </w:r>
          </w:p>
        </w:tc>
      </w:tr>
      <w:tr>
        <w:trPr>
          <w:cantSplit/>
          <w:cantSplit/>
        </w:trPr>
        <w:tc>
          <w:tcPr>
            <w:tcW w:type="dxa" w:w="2952"/>
            <w:tcMar>
              <w:top w:w="90" w:type="dxa"/>
              <w:left w:w="90" w:type="dxa"/>
              <w:bottom w:w="90" w:type="dxa"/>
              <w:right w:w="90" w:type="dxa"/>
            </w:tcMar>
            <w:shd w:fill="EEF2F5"/>
          </w:tcPr>
          <w:p>
            <w:pPr>
              <w:spacing w:after="60" w:before="40"/>
            </w:pPr>
            <w:r>
              <w:rPr>
                <w:sz w:val="18"/>
              </w:rPr>
              <w:t>VAT basis</w:t>
            </w:r>
          </w:p>
        </w:tc>
        <w:tc>
          <w:tcPr>
            <w:tcW w:type="dxa" w:w="6840"/>
            <w:tcMar>
              <w:top w:w="90" w:type="dxa"/>
              <w:left w:w="90" w:type="dxa"/>
              <w:bottom w:w="90" w:type="dxa"/>
              <w:right w:w="90" w:type="dxa"/>
            </w:tcMar>
          </w:tcPr>
          <w:p>
            <w:pPr>
              <w:spacing w:after="60" w:before="40"/>
            </w:pPr>
            <w:r>
              <w:rPr>
                <w:color w:val="075C81"/>
                <w:sz w:val="18"/>
              </w:rPr>
              <w:t>{{vat_basis_and_rate}}</w:t>
            </w:r>
          </w:p>
        </w:tc>
      </w:tr>
      <w:tr>
        <w:trPr>
          <w:cantSplit/>
          <w:cantSplit/>
        </w:trPr>
        <w:tc>
          <w:tcPr>
            <w:tcW w:type="dxa" w:w="2952"/>
            <w:tcMar>
              <w:top w:w="90" w:type="dxa"/>
              <w:left w:w="90" w:type="dxa"/>
              <w:bottom w:w="90" w:type="dxa"/>
              <w:right w:w="90" w:type="dxa"/>
            </w:tcMar>
            <w:shd w:fill="EEF2F5"/>
          </w:tcPr>
          <w:p>
            <w:pPr>
              <w:spacing w:after="60" w:before="40"/>
            </w:pPr>
            <w:r>
              <w:rPr>
                <w:sz w:val="18"/>
              </w:rPr>
              <w:t>Breaks rounding and minimum booking</w:t>
            </w:r>
          </w:p>
        </w:tc>
        <w:tc>
          <w:tcPr>
            <w:tcW w:type="dxa" w:w="6840"/>
            <w:tcMar>
              <w:top w:w="90" w:type="dxa"/>
              <w:left w:w="90" w:type="dxa"/>
              <w:bottom w:w="90" w:type="dxa"/>
              <w:right w:w="90" w:type="dxa"/>
            </w:tcMar>
          </w:tcPr>
          <w:p>
            <w:pPr>
              <w:spacing w:after="60" w:before="40"/>
            </w:pPr>
            <w:r>
              <w:rPr>
                <w:color w:val="075C81"/>
                <w:sz w:val="18"/>
              </w:rPr>
              <w:t>{{break_rounding_minimum}}</w:t>
            </w:r>
          </w:p>
        </w:tc>
      </w:tr>
      <w:tr>
        <w:trPr>
          <w:cantSplit/>
          <w:cantSplit/>
        </w:trPr>
        <w:tc>
          <w:tcPr>
            <w:tcW w:type="dxa" w:w="2952"/>
            <w:tcMar>
              <w:top w:w="90" w:type="dxa"/>
              <w:left w:w="90" w:type="dxa"/>
              <w:bottom w:w="90" w:type="dxa"/>
              <w:right w:w="90" w:type="dxa"/>
            </w:tcMar>
            <w:shd w:fill="EEF2F5"/>
          </w:tcPr>
          <w:p>
            <w:pPr>
              <w:spacing w:after="60" w:before="40"/>
            </w:pPr>
            <w:r>
              <w:rPr>
                <w:sz w:val="18"/>
              </w:rPr>
              <w:t>Nights weekends public holidays</w:t>
            </w:r>
          </w:p>
        </w:tc>
        <w:tc>
          <w:tcPr>
            <w:tcW w:type="dxa" w:w="6840"/>
            <w:tcMar>
              <w:top w:w="90" w:type="dxa"/>
              <w:left w:w="90" w:type="dxa"/>
              <w:bottom w:w="90" w:type="dxa"/>
              <w:right w:w="90" w:type="dxa"/>
            </w:tcMar>
          </w:tcPr>
          <w:p>
            <w:pPr>
              <w:spacing w:after="60" w:before="40"/>
            </w:pPr>
            <w:r>
              <w:rPr>
                <w:color w:val="075C81"/>
                <w:sz w:val="18"/>
              </w:rPr>
              <w:t>{{premium_rates_or_no_variation}}</w:t>
            </w:r>
          </w:p>
        </w:tc>
      </w:tr>
      <w:tr>
        <w:trPr>
          <w:cantSplit/>
          <w:cantSplit/>
        </w:trPr>
        <w:tc>
          <w:tcPr>
            <w:tcW w:type="dxa" w:w="2952"/>
            <w:tcMar>
              <w:top w:w="90" w:type="dxa"/>
              <w:left w:w="90" w:type="dxa"/>
              <w:bottom w:w="90" w:type="dxa"/>
              <w:right w:w="90" w:type="dxa"/>
            </w:tcMar>
            <w:shd w:fill="EEF2F5"/>
          </w:tcPr>
          <w:p>
            <w:pPr>
              <w:spacing w:after="60" w:before="40"/>
            </w:pPr>
            <w:r>
              <w:rPr>
                <w:sz w:val="18"/>
              </w:rPr>
              <w:t>Travel parking and other expenses</w:t>
            </w:r>
          </w:p>
        </w:tc>
        <w:tc>
          <w:tcPr>
            <w:tcW w:type="dxa" w:w="6840"/>
            <w:tcMar>
              <w:top w:w="90" w:type="dxa"/>
              <w:left w:w="90" w:type="dxa"/>
              <w:bottom w:w="90" w:type="dxa"/>
              <w:right w:w="90" w:type="dxa"/>
            </w:tcMar>
          </w:tcPr>
          <w:p>
            <w:pPr>
              <w:spacing w:after="60" w:before="40"/>
            </w:pPr>
            <w:r>
              <w:rPr>
                <w:color w:val="075C81"/>
                <w:sz w:val="18"/>
              </w:rPr>
              <w:t>{{authorised_expenses_or_none}}</w:t>
            </w:r>
          </w:p>
        </w:tc>
      </w:tr>
      <w:tr>
        <w:trPr>
          <w:cantSplit/>
          <w:cantSplit/>
        </w:trPr>
        <w:tc>
          <w:tcPr>
            <w:tcW w:type="dxa" w:w="2952"/>
            <w:tcMar>
              <w:top w:w="90" w:type="dxa"/>
              <w:left w:w="90" w:type="dxa"/>
              <w:bottom w:w="90" w:type="dxa"/>
              <w:right w:w="90" w:type="dxa"/>
            </w:tcMar>
            <w:shd w:fill="EEF2F5"/>
          </w:tcPr>
          <w:p>
            <w:pPr>
              <w:spacing w:after="60" w:before="40"/>
            </w:pPr>
            <w:r>
              <w:rPr>
                <w:sz w:val="18"/>
              </w:rPr>
              <w:t>Invoice cycle and payment period</w:t>
            </w:r>
          </w:p>
        </w:tc>
        <w:tc>
          <w:tcPr>
            <w:tcW w:type="dxa" w:w="6840"/>
            <w:tcMar>
              <w:top w:w="90" w:type="dxa"/>
              <w:left w:w="90" w:type="dxa"/>
              <w:bottom w:w="90" w:type="dxa"/>
              <w:right w:w="90" w:type="dxa"/>
            </w:tcMar>
          </w:tcPr>
          <w:p>
            <w:pPr>
              <w:spacing w:after="60" w:before="40"/>
            </w:pPr>
            <w:r>
              <w:rPr>
                <w:color w:val="075C81"/>
                <w:sz w:val="18"/>
              </w:rPr>
              <w:t>{{invoice_cycle}} / {{payment_days}} calendar days</w:t>
            </w:r>
          </w:p>
        </w:tc>
      </w:tr>
      <w:tr>
        <w:trPr>
          <w:cantSplit/>
          <w:cantSplit/>
        </w:trPr>
        <w:tc>
          <w:tcPr>
            <w:tcW w:type="dxa" w:w="2952"/>
            <w:tcMar>
              <w:top w:w="90" w:type="dxa"/>
              <w:left w:w="90" w:type="dxa"/>
              <w:bottom w:w="90" w:type="dxa"/>
              <w:right w:w="90" w:type="dxa"/>
            </w:tcMar>
            <w:shd w:fill="EEF2F5"/>
          </w:tcPr>
          <w:p>
            <w:pPr>
              <w:spacing w:after="60" w:before="40"/>
            </w:pPr>
            <w:r>
              <w:rPr>
                <w:sz w:val="18"/>
              </w:rPr>
              <w:t>Billing and timesheet contacts</w:t>
            </w:r>
          </w:p>
        </w:tc>
        <w:tc>
          <w:tcPr>
            <w:tcW w:type="dxa" w:w="6840"/>
            <w:tcMar>
              <w:top w:w="90" w:type="dxa"/>
              <w:left w:w="90" w:type="dxa"/>
              <w:bottom w:w="90" w:type="dxa"/>
              <w:right w:w="90" w:type="dxa"/>
            </w:tcMar>
          </w:tcPr>
          <w:p>
            <w:pPr>
              <w:spacing w:after="60" w:before="40"/>
            </w:pPr>
            <w:r>
              <w:rPr>
                <w:color w:val="075C81"/>
                <w:sz w:val="18"/>
              </w:rPr>
              <w:t>{{billing_and_approval_contacts}}</w:t>
            </w:r>
          </w:p>
        </w:tc>
      </w:tr>
      <w:tr>
        <w:trPr>
          <w:cantSplit/>
          <w:cantSplit/>
        </w:trPr>
        <w:tc>
          <w:tcPr>
            <w:tcW w:type="dxa" w:w="2952"/>
            <w:tcMar>
              <w:top w:w="90" w:type="dxa"/>
              <w:left w:w="90" w:type="dxa"/>
              <w:bottom w:w="90" w:type="dxa"/>
              <w:right w:w="90" w:type="dxa"/>
            </w:tcMar>
            <w:shd w:fill="EEF2F5"/>
          </w:tcPr>
          <w:p>
            <w:pPr>
              <w:spacing w:after="60" w:before="40"/>
            </w:pPr>
            <w:r>
              <w:rPr>
                <w:sz w:val="18"/>
              </w:rPr>
              <w:t>Provider cancellation more than 48 hours</w:t>
            </w:r>
          </w:p>
        </w:tc>
        <w:tc>
          <w:tcPr>
            <w:tcW w:type="dxa" w:w="6840"/>
            <w:tcMar>
              <w:top w:w="90" w:type="dxa"/>
              <w:left w:w="90" w:type="dxa"/>
              <w:bottom w:w="90" w:type="dxa"/>
              <w:right w:w="90" w:type="dxa"/>
            </w:tcMar>
          </w:tcPr>
          <w:p>
            <w:pPr>
              <w:spacing w:after="60" w:before="40"/>
            </w:pPr>
            <w:r>
              <w:rPr>
                <w:color w:val="075C81"/>
                <w:sz w:val="18"/>
              </w:rPr>
              <w:t>{{cancellation_over_48h_or_none}}</w:t>
            </w:r>
          </w:p>
        </w:tc>
      </w:tr>
      <w:tr>
        <w:trPr>
          <w:cantSplit/>
          <w:cantSplit/>
        </w:trPr>
        <w:tc>
          <w:tcPr>
            <w:tcW w:type="dxa" w:w="2952"/>
            <w:tcMar>
              <w:top w:w="90" w:type="dxa"/>
              <w:left w:w="90" w:type="dxa"/>
              <w:bottom w:w="90" w:type="dxa"/>
              <w:right w:w="90" w:type="dxa"/>
            </w:tcMar>
            <w:shd w:fill="EEF2F5"/>
          </w:tcPr>
          <w:p>
            <w:pPr>
              <w:spacing w:after="60" w:before="40"/>
            </w:pPr>
            <w:r>
              <w:rPr>
                <w:sz w:val="18"/>
              </w:rPr>
              <w:t>Provider cancellation 24 to 48 hours</w:t>
            </w:r>
          </w:p>
        </w:tc>
        <w:tc>
          <w:tcPr>
            <w:tcW w:type="dxa" w:w="6840"/>
            <w:tcMar>
              <w:top w:w="90" w:type="dxa"/>
              <w:left w:w="90" w:type="dxa"/>
              <w:bottom w:w="90" w:type="dxa"/>
              <w:right w:w="90" w:type="dxa"/>
            </w:tcMar>
          </w:tcPr>
          <w:p>
            <w:pPr>
              <w:spacing w:after="60" w:before="40"/>
            </w:pPr>
            <w:r>
              <w:rPr>
                <w:color w:val="075C81"/>
                <w:sz w:val="18"/>
              </w:rPr>
              <w:t>{{cancellation_24_48h_or_none}}</w:t>
            </w:r>
          </w:p>
        </w:tc>
      </w:tr>
      <w:tr>
        <w:trPr>
          <w:cantSplit/>
          <w:cantSplit/>
        </w:trPr>
        <w:tc>
          <w:tcPr>
            <w:tcW w:type="dxa" w:w="2952"/>
            <w:tcMar>
              <w:top w:w="90" w:type="dxa"/>
              <w:left w:w="90" w:type="dxa"/>
              <w:bottom w:w="90" w:type="dxa"/>
              <w:right w:w="90" w:type="dxa"/>
            </w:tcMar>
            <w:shd w:fill="EEF2F5"/>
          </w:tcPr>
          <w:p>
            <w:pPr>
              <w:spacing w:after="60" w:before="40"/>
            </w:pPr>
            <w:r>
              <w:rPr>
                <w:sz w:val="18"/>
              </w:rPr>
              <w:t>Provider cancellation under 24 hours</w:t>
            </w:r>
          </w:p>
        </w:tc>
        <w:tc>
          <w:tcPr>
            <w:tcW w:type="dxa" w:w="6840"/>
            <w:tcMar>
              <w:top w:w="90" w:type="dxa"/>
              <w:left w:w="90" w:type="dxa"/>
              <w:bottom w:w="90" w:type="dxa"/>
              <w:right w:w="90" w:type="dxa"/>
            </w:tcMar>
          </w:tcPr>
          <w:p>
            <w:pPr>
              <w:spacing w:after="60" w:before="40"/>
            </w:pPr>
            <w:r>
              <w:rPr>
                <w:color w:val="075C81"/>
                <w:sz w:val="18"/>
              </w:rPr>
              <w:t>{{cancellation_under_24h_or_none}}</w:t>
            </w:r>
          </w:p>
        </w:tc>
      </w:tr>
      <w:tr>
        <w:trPr>
          <w:cantSplit/>
          <w:cantSplit/>
        </w:trPr>
        <w:tc>
          <w:tcPr>
            <w:tcW w:type="dxa" w:w="2952"/>
            <w:tcMar>
              <w:top w:w="90" w:type="dxa"/>
              <w:left w:w="90" w:type="dxa"/>
              <w:bottom w:w="90" w:type="dxa"/>
              <w:right w:w="90" w:type="dxa"/>
            </w:tcMar>
            <w:shd w:fill="EEF2F5"/>
          </w:tcPr>
          <w:p>
            <w:pPr>
              <w:spacing w:after="60" w:before="40"/>
            </w:pPr>
            <w:r>
              <w:rPr>
                <w:sz w:val="18"/>
              </w:rPr>
              <w:t>Cancellation compensation payable to worker</w:t>
            </w:r>
          </w:p>
        </w:tc>
        <w:tc>
          <w:tcPr>
            <w:tcW w:type="dxa" w:w="6840"/>
            <w:tcMar>
              <w:top w:w="90" w:type="dxa"/>
              <w:left w:w="90" w:type="dxa"/>
              <w:bottom w:w="90" w:type="dxa"/>
              <w:right w:w="90" w:type="dxa"/>
            </w:tcMar>
          </w:tcPr>
          <w:p>
            <w:pPr>
              <w:spacing w:after="60" w:before="40"/>
            </w:pPr>
            <w:r>
              <w:rPr>
                <w:color w:val="075C81"/>
                <w:sz w:val="18"/>
              </w:rPr>
              <w:t>{{worker_cancellation_entitlement_or_none}}</w:t>
            </w:r>
          </w:p>
        </w:tc>
      </w:tr>
      <w:tr>
        <w:trPr>
          <w:cantSplit/>
          <w:cantSplit/>
        </w:trPr>
        <w:tc>
          <w:tcPr>
            <w:tcW w:type="dxa" w:w="2952"/>
            <w:tcMar>
              <w:top w:w="90" w:type="dxa"/>
              <w:left w:w="90" w:type="dxa"/>
              <w:bottom w:w="90" w:type="dxa"/>
              <w:right w:w="90" w:type="dxa"/>
            </w:tcMar>
            <w:shd w:fill="EEF2F5"/>
          </w:tcPr>
          <w:p>
            <w:pPr>
              <w:spacing w:after="60" w:before="40"/>
            </w:pPr>
            <w:r>
              <w:rPr>
                <w:sz w:val="18"/>
              </w:rPr>
              <w:t>Verified insurance references and limits</w:t>
            </w:r>
          </w:p>
        </w:tc>
        <w:tc>
          <w:tcPr>
            <w:tcW w:type="dxa" w:w="6840"/>
            <w:tcMar>
              <w:top w:w="90" w:type="dxa"/>
              <w:left w:w="90" w:type="dxa"/>
              <w:bottom w:w="90" w:type="dxa"/>
              <w:right w:w="90" w:type="dxa"/>
            </w:tcMar>
          </w:tcPr>
          <w:p>
            <w:pPr>
              <w:spacing w:after="60" w:before="40"/>
            </w:pPr>
            <w:r>
              <w:rPr>
                <w:color w:val="075C81"/>
                <w:sz w:val="18"/>
              </w:rPr>
              <w:t>{{insurance_references_and_limits}}</w:t>
            </w:r>
          </w:p>
        </w:tc>
      </w:tr>
      <w:tr>
        <w:trPr>
          <w:cantSplit/>
          <w:cantSplit/>
        </w:trPr>
        <w:tc>
          <w:tcPr>
            <w:tcW w:type="dxa" w:w="2952"/>
            <w:tcMar>
              <w:top w:w="90" w:type="dxa"/>
              <w:left w:w="90" w:type="dxa"/>
              <w:bottom w:w="90" w:type="dxa"/>
              <w:right w:w="90" w:type="dxa"/>
            </w:tcMar>
            <w:shd w:fill="EEF2F5"/>
          </w:tcPr>
          <w:p>
            <w:pPr>
              <w:spacing w:after="60" w:before="40"/>
            </w:pPr>
            <w:r>
              <w:rPr>
                <w:sz w:val="18"/>
              </w:rPr>
              <w:t>Liability cap if expressly agreed</w:t>
            </w:r>
          </w:p>
        </w:tc>
        <w:tc>
          <w:tcPr>
            <w:tcW w:type="dxa" w:w="6840"/>
            <w:tcMar>
              <w:top w:w="90" w:type="dxa"/>
              <w:left w:w="90" w:type="dxa"/>
              <w:bottom w:w="90" w:type="dxa"/>
              <w:right w:w="90" w:type="dxa"/>
            </w:tcMar>
          </w:tcPr>
          <w:p>
            <w:pPr>
              <w:spacing w:after="60" w:before="40"/>
            </w:pPr>
            <w:r>
              <w:rPr>
                <w:color w:val="075C81"/>
                <w:sz w:val="18"/>
              </w:rPr>
              <w:t>{{liability_cap_or_no_cap}}</w:t>
            </w:r>
          </w:p>
        </w:tc>
      </w:tr>
      <w:tr>
        <w:trPr>
          <w:cantSplit/>
          <w:cantSplit/>
        </w:trPr>
        <w:tc>
          <w:tcPr>
            <w:tcW w:type="dxa" w:w="2952"/>
            <w:tcMar>
              <w:top w:w="90" w:type="dxa"/>
              <w:left w:w="90" w:type="dxa"/>
              <w:bottom w:w="90" w:type="dxa"/>
              <w:right w:w="90" w:type="dxa"/>
            </w:tcMar>
            <w:shd w:fill="EEF2F5"/>
          </w:tcPr>
          <w:p>
            <w:pPr>
              <w:spacing w:after="60" w:before="40"/>
            </w:pPr>
            <w:r>
              <w:rPr>
                <w:sz w:val="18"/>
              </w:rPr>
              <w:t>Transfer fee arrangement</w:t>
            </w:r>
          </w:p>
        </w:tc>
        <w:tc>
          <w:tcPr>
            <w:tcW w:type="dxa" w:w="6840"/>
            <w:tcMar>
              <w:top w:w="90" w:type="dxa"/>
              <w:left w:w="90" w:type="dxa"/>
              <w:bottom w:w="90" w:type="dxa"/>
              <w:right w:w="90" w:type="dxa"/>
            </w:tcMar>
          </w:tcPr>
          <w:p>
            <w:pPr>
              <w:spacing w:after="60" w:before="40"/>
            </w:pPr>
            <w:r>
              <w:rPr>
                <w:sz w:val="18"/>
              </w:rPr>
              <w:t>None unless a separate lawful signed transfer schedule is attached</w:t>
            </w:r>
          </w:p>
        </w:tc>
      </w:tr>
    </w:tbl>
    <w:p/>
    <w:p>
      <w:pPr>
        <w:pStyle w:val="Heading1"/>
      </w:pPr>
      <w:r>
        <w:t>1 Scope and calculation</w:t>
      </w:r>
    </w:p>
    <w:p>
      <w:r>
        <w:t>This schedule applies only to the sites, role categories, dates and bookings expressly covered. Pay and charge rates are distinct. The total charge and any separate tax must be clear before confirmation. No blank rate, premium, expense or cancellation field is treated as an agreed additional charge. A positive lawful worker rate and accepted positive provider charge are required before publication or supply.</w:t>
      </w:r>
    </w:p>
    <w:p>
      <w:pPr>
        <w:pStyle w:val="Heading1"/>
      </w:pPr>
      <w:r>
        <w:t>2 Changes</w:t>
      </w:r>
    </w:p>
    <w:p>
      <w:r>
        <w:t>A change applies only from its agreed effective date and must be accepted by authorised representatives. It does not retrospectively change confirmed bookings without agreement or reduce statutory worker rights. The parties retain the accepted version and the calculation supporting the invoice.</w:t>
      </w:r>
    </w:p>
    <w:p>
      <w:pPr>
        <w:pStyle w:val="Heading1"/>
      </w:pPr>
      <w:r>
        <w:t>3 Cancellation and credits</w:t>
      </w:r>
    </w:p>
    <w:p>
      <w:r>
        <w:t>A cancellation amount is recoverable only where its calculation and triggering notice were agreed before the booking. Record the notice timestamp, affected hours, replacement or mitigation and any worker compensation. Do not charge twice for the same item. A no-show is not time worked. Any service credit must identify the booking and reason and does not authorise unlawful withholding of worker pay.</w:t>
      </w:r>
    </w:p>
    <w:p>
      <w:pPr>
        <w:pStyle w:val="Heading1"/>
      </w:pPr>
      <w:r>
        <w:t>Acceptance and signatures</w:t>
      </w:r>
    </w:p>
    <w:p>
      <w:r>
        <w:t>By signing or recording an agreed electronic acceptance, each party accepts the completed particulars, clauses and attached schedules. The acceptance record must identify the exact version. This is a simple contract and is not executed as a deed.</w:t>
      </w:r>
    </w:p>
    <w:p>
      <w:r>
        <w:t>For NurseFlex Ltd</w:t>
      </w:r>
    </w:p>
    <w:p>
      <w:r>
        <w:t>Authorised name {{nurseflex_signatory}}</w:t>
      </w:r>
    </w:p>
    <w:p>
      <w:r>
        <w:t>Signature or verified acceptance {{nurseflex_signature}}</w:t>
      </w:r>
    </w:p>
    <w:p>
      <w:r>
        <w:t>Date {{nurseflex_signature_date}}</w:t>
      </w:r>
    </w:p>
    <w:p>
      <w:r>
        <w:t>Other party {{counterparty_signatory}}</w:t>
      </w:r>
    </w:p>
    <w:p>
      <w:r>
        <w:t>Capacity or authority {{counterparty_capacity}}</w:t>
      </w:r>
    </w:p>
    <w:p>
      <w:r>
        <w:t>Signature or verified acceptance {{counterparty_signature}}</w:t>
      </w:r>
    </w:p>
    <w:p>
      <w:r>
        <w:t>Date {{counterparty_signature_date}}</w:t>
      </w:r>
    </w:p>
    <w:p>
      <w:r>
        <w:br w:type="page"/>
      </w:r>
    </w:p>
    <w:p>
      <w:pPr>
        <w:pStyle w:val="Heading1"/>
        <w:keepNext/>
      </w:pPr>
      <w:r>
        <w:rPr>
          <w:color w:val="000000"/>
          <w:sz w:val="28"/>
        </w:rPr>
        <w:t>Current pay and pricing guidance</w:t>
      </w:r>
    </w:p>
    <w:p>
      <w:pPr>
        <w:spacing w:after="120"/>
      </w:pPr>
      <w:r>
        <w:rPr>
          <w:sz w:val="18"/>
        </w:rPr>
        <w:t>NurseFlex UK | New offers from 26 October 2026 | Weekly payday Friday</w:t>
      </w:r>
    </w:p>
    <w:p>
      <w:pPr>
        <w:spacing w:after="120"/>
      </w:pPr>
      <w:r>
        <w:rPr>
          <w:sz w:val="20"/>
        </w:rPr>
        <w:t>This guide explains the approved starting rates for new nurse, HCA and Support Worker offers. Individual engagement terms and accepted assignment particulars govern the actual pay and client price. Existing signed terms and accepted bookings are unchanged.</w:t>
      </w:r>
    </w:p>
    <w:p>
      <w:pPr>
        <w:pStyle w:val="Heading2"/>
        <w:keepNext/>
      </w:pPr>
      <w:r>
        <w:rPr>
          <w:color w:val="000000"/>
          <w:sz w:val="22"/>
        </w:rPr>
        <w:t>Staff gross hourly guide</w:t>
      </w:r>
    </w:p>
    <w:tbl>
      <w:tblPr>
        <w:tblW w:type="auto" w:w="0"/>
        <w:tblLayout w:type="fixed"/>
        <w:tblLook w:firstColumn="1" w:firstRow="1" w:lastColumn="0" w:lastRow="0" w:noHBand="0" w:noVBand="1" w:val="04A0"/>
      </w:tblPr>
      <w:tblGrid>
        <w:gridCol w:w="2880"/>
        <w:gridCol w:w="1512"/>
        <w:gridCol w:w="1512"/>
        <w:gridCol w:w="1512"/>
        <w:gridCol w:w="1512"/>
      </w:tblGrid>
      <w:tr>
        <w:trPr>
          <w:cantSplit/>
          <w:tblHeader/>
        </w:trPr>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left"/>
            </w:pPr>
            <w:r>
              <w:rPr>
                <w:b/>
                <w:color w:val="FFFFFF"/>
                <w:sz w:val="18"/>
              </w:rPr>
              <w:t>Role</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day</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night</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Weekend</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Bank holiday</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Nurse RGN or RMN</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£24.00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£26.00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£27.00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£36.00</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left"/>
            </w:pPr>
            <w:r>
              <w:rPr>
                <w:b w:val="0"/>
                <w:color w:val="000000"/>
                <w:sz w:val="18"/>
              </w:rPr>
              <w:t>HCA</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£15.13</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£16.25</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£17.37</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£22.69</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Support Worker</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£15.69</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£16.81</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£17.93</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£23.53</w:t>
            </w:r>
          </w:p>
        </w:tc>
      </w:tr>
    </w:tbl>
    <w:p/>
    <w:p>
      <w:pPr>
        <w:spacing w:after="120"/>
      </w:pPr>
      <w:r>
        <w:rPr>
          <w:sz w:val="18"/>
        </w:rPr>
        <w:t>The table includes a 12.07% holiday component for eligible rolled-up arrangements. Basic and holiday are itemised separately; do not add holiday a second time. Weekday day basic rates are nurse £21.4152, HCA £13.50 and Support Worker £14.00. Exact basic rates are retained for payroll; pay-period rounding can produce penny differences from rounded hourly guides.</w:t>
      </w:r>
    </w:p>
    <w:p>
      <w:pPr>
        <w:pStyle w:val="Heading2"/>
        <w:keepNext/>
      </w:pPr>
      <w:r>
        <w:rPr>
          <w:color w:val="000000"/>
          <w:sz w:val="22"/>
        </w:rPr>
        <w:t>Standard client hourly proposals</w:t>
      </w:r>
    </w:p>
    <w:tbl>
      <w:tblPr>
        <w:tblW w:type="auto" w:w="0"/>
        <w:tblLayout w:type="fixed"/>
        <w:tblLook w:firstColumn="1" w:firstRow="1" w:lastColumn="0" w:lastRow="0" w:noHBand="0" w:noVBand="1" w:val="04A0"/>
      </w:tblPr>
      <w:tblGrid>
        <w:gridCol w:w="2880"/>
        <w:gridCol w:w="1512"/>
        <w:gridCol w:w="1512"/>
        <w:gridCol w:w="1512"/>
        <w:gridCol w:w="1512"/>
      </w:tblGrid>
      <w:tr>
        <w:trPr>
          <w:cantSplit/>
          <w:tblHeader/>
        </w:trPr>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left"/>
            </w:pPr>
            <w:r>
              <w:rPr>
                <w:b/>
                <w:color w:val="FFFFFF"/>
                <w:sz w:val="18"/>
              </w:rPr>
              <w:t>Role</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day</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night</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Weekend</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Bank holiday</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Nurse RGN or RMN</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£34.32</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£36.68</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£37.86</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£48.48</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left"/>
            </w:pPr>
            <w:r>
              <w:rPr>
                <w:b w:val="0"/>
                <w:color w:val="000000"/>
                <w:sz w:val="18"/>
              </w:rPr>
              <w:t>HCA</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£21.85</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£23.18</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£24.50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£30.78</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Support Worker</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£22.51</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£23.84</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£25.16</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£31.77</w:t>
            </w:r>
          </w:p>
        </w:tc>
      </w:tr>
    </w:tbl>
    <w:p/>
    <w:p>
      <w:pPr>
        <w:spacing w:after="120"/>
      </w:pPr>
      <w:r>
        <w:rPr>
          <w:sz w:val="18"/>
        </w:rPr>
        <w:t>Client proposals include holiday and employer NI/pension provisions plus the service fee. Actual payroll liabilities use applicable thresholds and eligibility. VAT follows the recorded supply assessment; no blanket exemption is asserted. A proposal is not an agreed facility price.</w:t>
      </w:r>
    </w:p>
    <w:p>
      <w:pPr>
        <w:pStyle w:val="Heading2"/>
        <w:keepNext/>
      </w:pPr>
      <w:r>
        <w:rPr>
          <w:color w:val="000000"/>
          <w:sz w:val="22"/>
        </w:rPr>
        <w:t>Holiday eligibility and confirmed amounts</w:t>
      </w:r>
    </w:p>
    <w:p>
      <w:pPr>
        <w:spacing w:after="120"/>
      </w:pPr>
      <w:r>
        <w:rPr>
          <w:sz w:val="18"/>
        </w:rPr>
        <w:t>Rolled-up holiday pay requires an active PAYE profile, evidenced irregular-hours or part-year eligibility and a qualifying leave year. Bank status alone is insufficient. Regular-hours and accrued-holiday staff are paid for leave under their applicable terms; the holiday provision is not extra current shift cash.</w:t>
      </w:r>
    </w:p>
    <w:p>
      <w:pPr>
        <w:spacing w:after="120"/>
      </w:pPr>
      <w:r>
        <w:rPr>
          <w:sz w:val="18"/>
        </w:rPr>
        <w:t>For an eligible nurse, 12 paid hours at the new weekday minimum produce £256.98 basic plus £31.02 holiday = £288.00 gross before employee deductions. Unpaid breaks reduce paid hours. The example is not a net-pay or payment-date promise.</w:t>
      </w:r>
    </w:p>
    <w:p>
      <w:pPr>
        <w:spacing w:after="120"/>
      </w:pPr>
      <w:r>
        <w:rPr>
          <w:sz w:val="18"/>
        </w:rPr>
        <w:t>Use one category for each worked period: bank holiday, then weekend, then weekday night or day. Weekday night is 20:00–07:00, Europe/London. Cross-boundary hours need the applicable agreed rates; premiums do not stack.</w:t>
      </w:r>
    </w:p>
    <w:p>
      <w:pPr>
        <w:spacing w:after="120"/>
      </w:pPr>
      <w:r>
        <w:rPr>
          <w:sz w:val="16"/>
        </w:rPr>
        <w:t>Current guide: https://nurseflex.co.uk/pay-rates/ | Private staff guide: https://nurseflex.co.uk/dashboard/staff-rates/ | Questions: hello@nurseflex.co.uk</w:t>
      </w:r>
    </w:p>
    <w:sectPr w:rsidR="00FC693F" w:rsidRPr="0006063C" w:rsidSect="00034616">
      <w:footerReference w:type="default" r:id="rId9"/>
      <w:pgSz w:w="11909" w:h="16834"/>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NF UK P02 | v1.1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b/>
      <w:bCs/>
      <w:color w:val="152536"/>
      <w:sz w:val="2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rial" w:hAnsi="Arial"/>
      <w:b/>
      <w:bCs/>
      <w:color w:val="152536"/>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Provider Pricing and Commercial Schedule</dc:title>
  <dc:subject>Original template with current pay and pricing guidance dated 26 October 2026</dc:subject>
  <dc:creator>NurseFlex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