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Key Information Document for PAYE Agency Workers</w:t>
      </w:r>
    </w:p>
    <w:p>
      <w:r>
        <w:t>NF UK K01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Issued to and date</w:t>
            </w:r>
          </w:p>
        </w:tc>
        <w:tc>
          <w:tcPr>
            <w:tcW w:type="dxa" w:w="6840"/>
            <w:tcMar>
              <w:top w:w="90" w:type="dxa"/>
              <w:left w:w="90" w:type="dxa"/>
              <w:bottom w:w="90" w:type="dxa"/>
              <w:right w:w="90" w:type="dxa"/>
            </w:tcMar>
          </w:tcPr>
          <w:p>
            <w:pPr>
              <w:spacing w:after="60" w:before="40"/>
            </w:pPr>
            <w:r>
              <w:rPr>
                <w:color w:val="075C81"/>
                <w:sz w:val="18"/>
              </w:rPr>
              <w:t>{{worker_name}} / {{issue_date}}</w:t>
            </w:r>
          </w:p>
        </w:tc>
      </w:tr>
      <w:tr>
        <w:trPr>
          <w:cantSplit/>
          <w:cantSplit/>
        </w:trPr>
        <w:tc>
          <w:tcPr>
            <w:tcW w:type="dxa" w:w="2952"/>
            <w:tcMar>
              <w:top w:w="90" w:type="dxa"/>
              <w:left w:w="90" w:type="dxa"/>
              <w:bottom w:w="90" w:type="dxa"/>
              <w:right w:w="90" w:type="dxa"/>
            </w:tcMar>
            <w:shd w:fill="EEF2F5"/>
          </w:tcPr>
          <w:p>
            <w:pPr>
              <w:spacing w:after="60" w:before="40"/>
            </w:pPr>
            <w:r>
              <w:rPr>
                <w:sz w:val="18"/>
              </w:rPr>
              <w:t>Employment business</w:t>
            </w:r>
          </w:p>
        </w:tc>
        <w:tc>
          <w:tcPr>
            <w:tcW w:type="dxa" w:w="6840"/>
            <w:tcMar>
              <w:top w:w="90" w:type="dxa"/>
              <w:left w:w="90" w:type="dxa"/>
              <w:bottom w:w="90" w:type="dxa"/>
              <w:right w:w="90" w:type="dxa"/>
            </w:tcMar>
          </w:tcPr>
          <w:p>
            <w:pPr>
              <w:spacing w:after="60" w:before="40"/>
            </w:pPr>
            <w:r>
              <w:rPr>
                <w:sz w:val="18"/>
              </w:rPr>
              <w:t>NurseFlex Ltd, company number 17153168; hello@nurseflex.co.uk</w:t>
            </w:r>
          </w:p>
        </w:tc>
      </w:tr>
      <w:tr>
        <w:trPr>
          <w:cantSplit/>
          <w:cantSplit/>
        </w:trPr>
        <w:tc>
          <w:tcPr>
            <w:tcW w:type="dxa" w:w="2952"/>
            <w:tcMar>
              <w:top w:w="90" w:type="dxa"/>
              <w:left w:w="90" w:type="dxa"/>
              <w:bottom w:w="90" w:type="dxa"/>
              <w:right w:w="90" w:type="dxa"/>
            </w:tcMar>
            <w:shd w:fill="EEF2F5"/>
          </w:tcPr>
          <w:p>
            <w:pPr>
              <w:spacing w:after="60" w:before="40"/>
            </w:pPr>
            <w:r>
              <w:rPr>
                <w:sz w:val="18"/>
              </w:rPr>
              <w:t>Contract type</w:t>
            </w:r>
          </w:p>
        </w:tc>
        <w:tc>
          <w:tcPr>
            <w:tcW w:type="dxa" w:w="6840"/>
            <w:tcMar>
              <w:top w:w="90" w:type="dxa"/>
              <w:left w:w="90" w:type="dxa"/>
              <w:bottom w:w="90" w:type="dxa"/>
              <w:right w:w="90" w:type="dxa"/>
            </w:tcMar>
          </w:tcPr>
          <w:p>
            <w:pPr>
              <w:spacing w:after="60" w:before="40"/>
            </w:pPr>
            <w:r>
              <w:rPr>
                <w:sz w:val="18"/>
              </w:rPr>
              <w:t>Contract for services as a PAYE agency worker</w:t>
            </w:r>
          </w:p>
        </w:tc>
      </w:tr>
      <w:tr>
        <w:trPr>
          <w:cantSplit/>
          <w:cantSplit/>
        </w:trPr>
        <w:tc>
          <w:tcPr>
            <w:tcW w:type="dxa" w:w="2952"/>
            <w:tcMar>
              <w:top w:w="90" w:type="dxa"/>
              <w:left w:w="90" w:type="dxa"/>
              <w:bottom w:w="90" w:type="dxa"/>
              <w:right w:w="90" w:type="dxa"/>
            </w:tcMar>
            <w:shd w:fill="EEF2F5"/>
          </w:tcPr>
          <w:p>
            <w:pPr>
              <w:spacing w:after="60" w:before="40"/>
            </w:pPr>
            <w:r>
              <w:rPr>
                <w:sz w:val="18"/>
              </w:rPr>
              <w:t>Who pays you</w:t>
            </w:r>
          </w:p>
        </w:tc>
        <w:tc>
          <w:tcPr>
            <w:tcW w:type="dxa" w:w="6840"/>
            <w:tcMar>
              <w:top w:w="90" w:type="dxa"/>
              <w:left w:w="90" w:type="dxa"/>
              <w:bottom w:w="90" w:type="dxa"/>
              <w:right w:w="90" w:type="dxa"/>
            </w:tcMar>
          </w:tcPr>
          <w:p>
            <w:pPr>
              <w:spacing w:after="60" w:before="40"/>
            </w:pPr>
            <w:r>
              <w:rPr>
                <w:sz w:val="18"/>
              </w:rPr>
              <w:t>NurseFlex Ltd directly through PAYE</w:t>
            </w:r>
          </w:p>
        </w:tc>
      </w:tr>
      <w:tr>
        <w:trPr>
          <w:cantSplit/>
          <w:cantSplit/>
        </w:trPr>
        <w:tc>
          <w:tcPr>
            <w:tcW w:type="dxa" w:w="2952"/>
            <w:tcMar>
              <w:top w:w="90" w:type="dxa"/>
              <w:left w:w="90" w:type="dxa"/>
              <w:bottom w:w="90" w:type="dxa"/>
              <w:right w:w="90" w:type="dxa"/>
            </w:tcMar>
            <w:shd w:fill="EEF2F5"/>
          </w:tcPr>
          <w:p>
            <w:pPr>
              <w:spacing w:after="60" w:before="40"/>
            </w:pPr>
            <w:r>
              <w:rPr>
                <w:sz w:val="18"/>
              </w:rPr>
              <w:t>Expected minimum basic hourly pay</w:t>
            </w:r>
          </w:p>
        </w:tc>
        <w:tc>
          <w:tcPr>
            <w:tcW w:type="dxa" w:w="6840"/>
            <w:tcMar>
              <w:top w:w="90" w:type="dxa"/>
              <w:left w:w="90" w:type="dxa"/>
              <w:bottom w:w="90" w:type="dxa"/>
              <w:right w:w="90" w:type="dxa"/>
            </w:tcMar>
          </w:tcPr>
          <w:p>
            <w:pPr>
              <w:spacing w:after="60" w:before="40"/>
            </w:pPr>
            <w:r>
              <w:rPr>
                <w:color w:val="075C81"/>
                <w:sz w:val="18"/>
              </w:rPr>
              <w:t>GBP {{minimum_basic_rate}} before employee deductions, excluding any separate holiday amount</w:t>
            </w:r>
          </w:p>
        </w:tc>
      </w:tr>
      <w:tr>
        <w:trPr>
          <w:cantSplit/>
          <w:cantSplit/>
        </w:trPr>
        <w:tc>
          <w:tcPr>
            <w:tcW w:type="dxa" w:w="2952"/>
            <w:tcMar>
              <w:top w:w="90" w:type="dxa"/>
              <w:left w:w="90" w:type="dxa"/>
              <w:bottom w:w="90" w:type="dxa"/>
              <w:right w:w="90" w:type="dxa"/>
            </w:tcMar>
            <w:shd w:fill="EEF2F5"/>
          </w:tcPr>
          <w:p>
            <w:pPr>
              <w:spacing w:after="60" w:before="40"/>
            </w:pPr>
            <w:r>
              <w:rPr>
                <w:sz w:val="18"/>
              </w:rPr>
              <w:t>Pay frequency and pay day</w:t>
            </w:r>
          </w:p>
        </w:tc>
        <w:tc>
          <w:tcPr>
            <w:tcW w:type="dxa" w:w="6840"/>
            <w:tcMar>
              <w:top w:w="90" w:type="dxa"/>
              <w:left w:w="90" w:type="dxa"/>
              <w:bottom w:w="90" w:type="dxa"/>
              <w:right w:w="90" w:type="dxa"/>
            </w:tcMar>
          </w:tcPr>
          <w:p>
            <w:pPr>
              <w:spacing w:after="60" w:before="40"/>
            </w:pPr>
            <w:r>
              <w:rPr>
                <w:color w:val="075C81"/>
                <w:sz w:val="18"/>
              </w:rPr>
              <w:t>Weekly / {{weekly_pay_day}}</w:t>
            </w:r>
          </w:p>
        </w:tc>
      </w:tr>
      <w:tr>
        <w:trPr>
          <w:cantSplit/>
          <w:cantSplit/>
        </w:trPr>
        <w:tc>
          <w:tcPr>
            <w:tcW w:type="dxa" w:w="2952"/>
            <w:tcMar>
              <w:top w:w="90" w:type="dxa"/>
              <w:left w:w="90" w:type="dxa"/>
              <w:bottom w:w="90" w:type="dxa"/>
              <w:right w:w="90" w:type="dxa"/>
            </w:tcMar>
            <w:shd w:fill="EEF2F5"/>
          </w:tcPr>
          <w:p>
            <w:pPr>
              <w:spacing w:after="60" w:before="40"/>
            </w:pPr>
            <w:r>
              <w:rPr>
                <w:sz w:val="18"/>
              </w:rPr>
              <w:t>Holiday entitlement and payment</w:t>
            </w:r>
          </w:p>
        </w:tc>
        <w:tc>
          <w:tcPr>
            <w:tcW w:type="dxa" w:w="6840"/>
            <w:tcMar>
              <w:top w:w="90" w:type="dxa"/>
              <w:left w:w="90" w:type="dxa"/>
              <w:bottom w:w="90" w:type="dxa"/>
              <w:right w:w="90" w:type="dxa"/>
            </w:tcMar>
          </w:tcPr>
          <w:p>
            <w:pPr>
              <w:spacing w:after="60" w:before="40"/>
            </w:pPr>
            <w:r>
              <w:rPr>
                <w:color w:val="075C81"/>
                <w:sz w:val="18"/>
              </w:rPr>
              <w:t>{{holiday_entitlement_and_method}}</w:t>
            </w:r>
          </w:p>
        </w:tc>
      </w:tr>
      <w:tr>
        <w:trPr>
          <w:cantSplit/>
          <w:cantSplit/>
        </w:trPr>
        <w:tc>
          <w:tcPr>
            <w:tcW w:type="dxa" w:w="2952"/>
            <w:tcMar>
              <w:top w:w="90" w:type="dxa"/>
              <w:left w:w="90" w:type="dxa"/>
              <w:bottom w:w="90" w:type="dxa"/>
              <w:right w:w="90" w:type="dxa"/>
            </w:tcMar>
            <w:shd w:fill="EEF2F5"/>
          </w:tcPr>
          <w:p>
            <w:pPr>
              <w:spacing w:after="60" w:before="40"/>
            </w:pPr>
            <w:r>
              <w:rPr>
                <w:sz w:val="18"/>
              </w:rPr>
              <w:t>Statutory deductions</w:t>
            </w:r>
          </w:p>
        </w:tc>
        <w:tc>
          <w:tcPr>
            <w:tcW w:type="dxa" w:w="6840"/>
            <w:tcMar>
              <w:top w:w="90" w:type="dxa"/>
              <w:left w:w="90" w:type="dxa"/>
              <w:bottom w:w="90" w:type="dxa"/>
              <w:right w:w="90" w:type="dxa"/>
            </w:tcMar>
          </w:tcPr>
          <w:p>
            <w:pPr>
              <w:spacing w:after="60" w:before="40"/>
            </w:pPr>
            <w:r>
              <w:rPr>
                <w:sz w:val="18"/>
              </w:rPr>
              <w:t>PAYE Income Tax, employee National Insurance and applicable employee pension contributions</w:t>
            </w:r>
          </w:p>
        </w:tc>
      </w:tr>
      <w:tr>
        <w:trPr>
          <w:cantSplit/>
          <w:cantSplit/>
        </w:trPr>
        <w:tc>
          <w:tcPr>
            <w:tcW w:type="dxa" w:w="2952"/>
            <w:tcMar>
              <w:top w:w="90" w:type="dxa"/>
              <w:left w:w="90" w:type="dxa"/>
              <w:bottom w:w="90" w:type="dxa"/>
              <w:right w:w="90" w:type="dxa"/>
            </w:tcMar>
            <w:shd w:fill="EEF2F5"/>
          </w:tcPr>
          <w:p>
            <w:pPr>
              <w:spacing w:after="60" w:before="40"/>
            </w:pPr>
            <w:r>
              <w:rPr>
                <w:sz w:val="18"/>
              </w:rPr>
              <w:t>Other deductions and fees</w:t>
            </w:r>
          </w:p>
        </w:tc>
        <w:tc>
          <w:tcPr>
            <w:tcW w:type="dxa" w:w="6840"/>
            <w:tcMar>
              <w:top w:w="90" w:type="dxa"/>
              <w:left w:w="90" w:type="dxa"/>
              <w:bottom w:w="90" w:type="dxa"/>
              <w:right w:w="90" w:type="dxa"/>
            </w:tcMar>
          </w:tcPr>
          <w:p>
            <w:pPr>
              <w:spacing w:after="60" w:before="40"/>
            </w:pPr>
            <w:r>
              <w:rPr>
                <w:color w:val="075C81"/>
                <w:sz w:val="18"/>
              </w:rPr>
              <w:t>{{other_deductions_or_none}}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Non-cash benefits</w:t>
            </w:r>
          </w:p>
        </w:tc>
        <w:tc>
          <w:tcPr>
            <w:tcW w:type="dxa" w:w="6840"/>
            <w:tcMar>
              <w:top w:w="90" w:type="dxa"/>
              <w:left w:w="90" w:type="dxa"/>
              <w:bottom w:w="90" w:type="dxa"/>
              <w:right w:w="90" w:type="dxa"/>
            </w:tcMar>
          </w:tcPr>
          <w:p>
            <w:pPr>
              <w:spacing w:after="60" w:before="40"/>
            </w:pPr>
            <w:r>
              <w:rPr>
                <w:color w:val="075C81"/>
                <w:sz w:val="18"/>
              </w:rPr>
              <w:t>{{benefits_or_none}}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Work-finding fee</w:t>
            </w:r>
          </w:p>
        </w:tc>
        <w:tc>
          <w:tcPr>
            <w:tcW w:type="dxa" w:w="6840"/>
            <w:tcMar>
              <w:top w:w="90" w:type="dxa"/>
              <w:left w:w="90" w:type="dxa"/>
              <w:bottom w:w="90" w:type="dxa"/>
              <w:right w:w="90" w:type="dxa"/>
            </w:tcMar>
          </w:tcPr>
          <w:p>
            <w:pPr>
              <w:spacing w:after="60" w:before="40"/>
            </w:pPr>
            <w:r>
              <w:rPr>
                <w:sz w:val="18"/>
              </w:rPr>
              <w:t>None</w:t>
            </w:r>
          </w:p>
        </w:tc>
      </w:tr>
      <w:tr>
        <w:tc>
          <w:tcPr>
            <w:tcW w:type="dxa" w:w="2952"/>
            <w:tcMar>
              <w:top w:w="90" w:type="dxa"/>
              <w:left w:w="90" w:type="dxa"/>
              <w:bottom w:w="90" w:type="dxa"/>
              <w:right w:w="90" w:type="dxa"/>
            </w:tcMar>
            <w:shd w:fill="EEF2F5"/>
          </w:tcPr>
          <w:p>
            <w:pPr>
              <w:spacing w:after="60" w:before="40"/>
            </w:pPr>
            <w:r>
              <w:rPr>
                <w:color w:val="000000"/>
                <w:sz w:val="18"/>
              </w:rPr>
              <w:t>Pay display and holiday method</w:t>
            </w:r>
          </w:p>
        </w:tc>
        <w:tc>
          <w:tcPr>
            <w:tcW w:type="dxa" w:w="6840"/>
            <w:tcMar>
              <w:top w:w="90" w:type="dxa"/>
              <w:left w:w="90" w:type="dxa"/>
              <w:bottom w:w="90" w:type="dxa"/>
              <w:right w:w="90" w:type="dxa"/>
            </w:tcMar>
          </w:tcPr>
          <w:p>
            <w:pPr>
              <w:spacing w:after="60" w:before="40"/>
            </w:pPr>
            <w:r>
              <w:rPr>
                <w:color w:val="075C81"/>
                <w:sz w:val="18"/>
              </w:rPr>
              <w:t>{{pay_model_notice}}</w:t>
            </w:r>
          </w:p>
        </w:tc>
      </w:tr>
    </w:tbl>
    <w:p/>
    <w:p>
      <w:pPr>
        <w:pStyle w:val="Heading1"/>
      </w:pPr>
      <w:r>
        <w:t>1 Purpose and work rights contact</w:t>
      </w:r>
    </w:p>
    <w:p>
      <w:r>
        <w:t>This document explains proposed pay arrangements before engagement terms are agreed; it is not the engagement contract or a promise of a particular assignment. Questions can be raised with NurseFlex at hello@nurseflex.co.uk. The Fair Work Agency is the current enforcement body for employment-agency standards in Great Britain. Current contact and complaint routes: https://www.gov.uk/government/organisations/fair-work-agency and the GOV.UK pay and work rights complaints service.</w:t>
      </w:r>
    </w:p>
    <w:p>
      <w:pPr>
        <w:pStyle w:val="Heading1"/>
      </w:pPr>
      <w:r>
        <w:t>2 Representative weekly pay illustration</w:t>
      </w:r>
    </w:p>
    <w:p>
      <w:r>
        <w:t>{{kid_pay_illustration}}</w:t>
      </w:r>
    </w:p>
    <w:p>
      <w:pPr>
        <w:pStyle w:val="Heading1"/>
      </w:pPr>
      <w:r>
        <w:t>3 Illustration assumptions and individual calculation</w:t>
      </w:r>
    </w:p>
    <w:p>
      <w:r>
        <w:t>{{kid_illustration_assumptions}}</w:t>
      </w:r>
    </w:p>
    <w:p>
      <w:pPr>
        <w:pStyle w:val="Heading1"/>
      </w:pPr>
      <w:r>
        <w:t>4 Delivery and changes</w:t>
      </w:r>
    </w:p>
    <w:p>
      <w:r>
        <w:t xml:space="preserve">Document version </w:t>
      </w:r>
      <w:r>
        <w:rPr>
          <w:color w:val="075C81"/>
        </w:rPr>
        <w:t>{{document_version}}</w:t>
      </w:r>
      <w:r>
        <w:t xml:space="preserve">, delivery date/method </w:t>
      </w:r>
      <w:r>
        <w:rPr>
          <w:color w:val="075C81"/>
        </w:rPr>
        <w:t>{{delivery_record}}</w:t>
      </w:r>
      <w:r>
        <w:t>. An updated document will be provided when required if the relevant arrangements change. Receipt acknowledgement confirms delivery only and is not acceptance of the engagement contract.</w:t>
      </w:r>
    </w:p>
    <w:p>
      <w:pPr>
        <w:spacing w:after="120"/>
      </w:pPr>
      <w:r>
        <w:rPr>
          <w:sz w:val="18"/>
        </w:rPr>
        <w:t>The illustration fields above are populated from the reviewed minimum basic rate and the worker-specific holiday method before personal issue. An uncompleted template is not an offer or a completed Key Information Document.</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K01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Document for PAYE Agency Workers</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