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Care Assistant and Support Worker Role Description</w:t>
      </w:r>
    </w:p>
    <w:p>
      <w:r>
        <w:t>NF UK R02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Worker name and role title</w:t>
            </w:r>
          </w:p>
        </w:tc>
        <w:tc>
          <w:tcPr>
            <w:tcW w:type="dxa" w:w="6840"/>
            <w:tcMar>
              <w:top w:w="90" w:type="dxa"/>
              <w:left w:w="90" w:type="dxa"/>
              <w:bottom w:w="90" w:type="dxa"/>
              <w:right w:w="90" w:type="dxa"/>
            </w:tcMar>
          </w:tcPr>
          <w:p>
            <w:pPr>
              <w:spacing w:after="60" w:before="40"/>
            </w:pPr>
            <w:r>
              <w:rPr>
                <w:color w:val="075C81"/>
                <w:sz w:val="18"/>
              </w:rPr>
              <w:t>{{worker_name}} / {{role_title}}</w:t>
            </w:r>
          </w:p>
        </w:tc>
      </w:tr>
      <w:tr>
        <w:trPr>
          <w:cantSplit/>
          <w:cantSplit/>
        </w:trPr>
        <w:tc>
          <w:tcPr>
            <w:tcW w:type="dxa" w:w="2952"/>
            <w:tcMar>
              <w:top w:w="90" w:type="dxa"/>
              <w:left w:w="90" w:type="dxa"/>
              <w:bottom w:w="90" w:type="dxa"/>
              <w:right w:w="90" w:type="dxa"/>
            </w:tcMar>
            <w:shd w:fill="EEF2F5"/>
          </w:tcPr>
          <w:p>
            <w:pPr>
              <w:spacing w:after="60" w:before="40"/>
            </w:pPr>
            <w:r>
              <w:rPr>
                <w:sz w:val="18"/>
              </w:rPr>
              <w:t>Hirer site and service population</w:t>
            </w:r>
          </w:p>
        </w:tc>
        <w:tc>
          <w:tcPr>
            <w:tcW w:type="dxa" w:w="6840"/>
            <w:tcMar>
              <w:top w:w="90" w:type="dxa"/>
              <w:left w:w="90" w:type="dxa"/>
              <w:bottom w:w="90" w:type="dxa"/>
              <w:right w:w="90" w:type="dxa"/>
            </w:tcMar>
          </w:tcPr>
          <w:p>
            <w:pPr>
              <w:spacing w:after="60" w:before="40"/>
            </w:pPr>
            <w:r>
              <w:rPr>
                <w:color w:val="075C81"/>
                <w:sz w:val="18"/>
              </w:rPr>
              <w:t>{{site_and_population}}</w:t>
            </w:r>
          </w:p>
        </w:tc>
      </w:tr>
      <w:tr>
        <w:trPr>
          <w:cantSplit/>
          <w:cantSplit/>
        </w:trPr>
        <w:tc>
          <w:tcPr>
            <w:tcW w:type="dxa" w:w="2952"/>
            <w:tcMar>
              <w:top w:w="90" w:type="dxa"/>
              <w:left w:w="90" w:type="dxa"/>
              <w:bottom w:w="90" w:type="dxa"/>
              <w:right w:w="90" w:type="dxa"/>
            </w:tcMar>
            <w:shd w:fill="EEF2F5"/>
          </w:tcPr>
          <w:p>
            <w:pPr>
              <w:spacing w:after="60" w:before="40"/>
            </w:pPr>
            <w:r>
              <w:rPr>
                <w:sz w:val="18"/>
              </w:rPr>
              <w:t>Reports to and escalation contact</w:t>
            </w:r>
          </w:p>
        </w:tc>
        <w:tc>
          <w:tcPr>
            <w:tcW w:type="dxa" w:w="6840"/>
            <w:tcMar>
              <w:top w:w="90" w:type="dxa"/>
              <w:left w:w="90" w:type="dxa"/>
              <w:bottom w:w="90" w:type="dxa"/>
              <w:right w:w="90" w:type="dxa"/>
            </w:tcMar>
          </w:tcPr>
          <w:p>
            <w:pPr>
              <w:spacing w:after="60" w:before="40"/>
            </w:pPr>
            <w:r>
              <w:rPr>
                <w:color w:val="075C81"/>
                <w:sz w:val="18"/>
              </w:rPr>
              <w:t>{{reporting_and_escalation}}</w:t>
            </w:r>
          </w:p>
        </w:tc>
      </w:tr>
      <w:tr>
        <w:trPr>
          <w:cantSplit/>
          <w:cantSplit/>
        </w:trPr>
        <w:tc>
          <w:tcPr>
            <w:tcW w:type="dxa" w:w="2952"/>
            <w:tcMar>
              <w:top w:w="90" w:type="dxa"/>
              <w:left w:w="90" w:type="dxa"/>
              <w:bottom w:w="90" w:type="dxa"/>
              <w:right w:w="90" w:type="dxa"/>
            </w:tcMar>
            <w:shd w:fill="EEF2F5"/>
          </w:tcPr>
          <w:p>
            <w:pPr>
              <w:spacing w:after="60" w:before="40"/>
            </w:pPr>
            <w:r>
              <w:rPr>
                <w:sz w:val="18"/>
              </w:rPr>
              <w:t>Required experience and competence</w:t>
            </w:r>
          </w:p>
        </w:tc>
        <w:tc>
          <w:tcPr>
            <w:tcW w:type="dxa" w:w="6840"/>
            <w:tcMar>
              <w:top w:w="90" w:type="dxa"/>
              <w:left w:w="90" w:type="dxa"/>
              <w:bottom w:w="90" w:type="dxa"/>
              <w:right w:w="90" w:type="dxa"/>
            </w:tcMar>
          </w:tcPr>
          <w:p>
            <w:pPr>
              <w:spacing w:after="60" w:before="40"/>
            </w:pPr>
            <w:r>
              <w:rPr>
                <w:color w:val="075C81"/>
                <w:sz w:val="18"/>
              </w:rPr>
              <w:t>{{required_experience_competence}}</w:t>
            </w:r>
          </w:p>
        </w:tc>
      </w:tr>
      <w:tr>
        <w:trPr>
          <w:cantSplit/>
          <w:cantSplit/>
        </w:trPr>
        <w:tc>
          <w:tcPr>
            <w:tcW w:type="dxa" w:w="2952"/>
            <w:tcMar>
              <w:top w:w="90" w:type="dxa"/>
              <w:left w:w="90" w:type="dxa"/>
              <w:bottom w:w="90" w:type="dxa"/>
              <w:right w:w="90" w:type="dxa"/>
            </w:tcMar>
            <w:shd w:fill="EEF2F5"/>
          </w:tcPr>
          <w:p>
            <w:pPr>
              <w:spacing w:after="60" w:before="40"/>
            </w:pPr>
            <w:r>
              <w:rPr>
                <w:sz w:val="18"/>
              </w:rPr>
              <w:t>Authorised delegated duties</w:t>
            </w:r>
          </w:p>
        </w:tc>
        <w:tc>
          <w:tcPr>
            <w:tcW w:type="dxa" w:w="6840"/>
            <w:tcMar>
              <w:top w:w="90" w:type="dxa"/>
              <w:left w:w="90" w:type="dxa"/>
              <w:bottom w:w="90" w:type="dxa"/>
              <w:right w:w="90" w:type="dxa"/>
            </w:tcMar>
          </w:tcPr>
          <w:p>
            <w:pPr>
              <w:spacing w:after="60" w:before="40"/>
            </w:pPr>
            <w:r>
              <w:rPr>
                <w:color w:val="075C81"/>
                <w:sz w:val="18"/>
              </w:rPr>
              <w:t>{{delegated_duties_or_none}}</w:t>
            </w:r>
          </w:p>
        </w:tc>
      </w:tr>
      <w:tr>
        <w:tc>
          <w:tcPr>
            <w:tcW w:type="dxa" w:w="2952"/>
            <w:tcMar>
              <w:top w:w="90" w:type="dxa"/>
              <w:left w:w="90" w:type="dxa"/>
              <w:bottom w:w="90" w:type="dxa"/>
              <w:right w:w="90" w:type="dxa"/>
            </w:tcMar>
            <w:shd w:fill="EEF2F5"/>
          </w:tcPr>
          <w:p>
            <w:pPr>
              <w:spacing w:after="60" w:before="40"/>
            </w:pPr>
            <w:r>
              <w:rPr>
                <w:color w:val="000000"/>
                <w:sz w:val="18"/>
              </w:rPr>
              <w:t>Pay display and holiday method</w:t>
            </w:r>
          </w:p>
        </w:tc>
        <w:tc>
          <w:tcPr>
            <w:tcW w:type="dxa" w:w="6840"/>
            <w:tcMar>
              <w:top w:w="90" w:type="dxa"/>
              <w:left w:w="90" w:type="dxa"/>
              <w:bottom w:w="90" w:type="dxa"/>
              <w:right w:w="90" w:type="dxa"/>
            </w:tcMar>
          </w:tcPr>
          <w:p>
            <w:pPr>
              <w:spacing w:after="60" w:before="40"/>
            </w:pPr>
            <w:r>
              <w:rPr>
                <w:color w:val="075C81"/>
                <w:sz w:val="18"/>
              </w:rPr>
              <w:t>{{pay_model_notice}}</w:t>
            </w:r>
          </w:p>
        </w:tc>
      </w:tr>
    </w:tbl>
    <w:p/>
    <w:p>
      <w:pPr>
        <w:pStyle w:val="Heading1"/>
      </w:pPr>
      <w:r>
        <w:t>1 Purpose and boundaries</w:t>
      </w:r>
    </w:p>
    <w:p>
      <w:r>
        <w:t>Support people with person-centred care and daily living within the agreed role, care plans, training and supervision. Promote choice, independence, dignity and respect. This is not a registered nurse appointment and does not confer authority to perform nursing procedures or specialist tasks without a lawful delegation and verified competence.</w:t>
      </w:r>
    </w:p>
    <w:p>
      <w:pPr>
        <w:pStyle w:val="Heading1"/>
      </w:pPr>
      <w:r>
        <w:t>2 Care and daily living</w:t>
      </w:r>
    </w:p>
    <w:p>
      <w:r>
        <w:t>Provide the personal care, nutrition, hydration, mobility, communication, social and practical support identified in the care plan and assignment. Obtain appropriate consent, respect privacy and follow safe moving and handling arrangements. Observe changes in wellbeing and report them promptly to the responsible professional; do not independently diagnose or alter a treatment plan.</w:t>
      </w:r>
    </w:p>
    <w:p>
      <w:pPr>
        <w:pStyle w:val="Heading1"/>
      </w:pPr>
      <w:r>
        <w:t>3 Medicines and delegated tasks</w:t>
      </w:r>
    </w:p>
    <w:p>
      <w:r>
        <w:t>Assist with medicines or another delegated task only where the care plan, local policy, required competence and authorisation permit it. Follow the documented instruction and supervision arrangements and escalate errors or uncertainty. Do not accept an unfamiliar task simply because another worker is unavailable.</w:t>
      </w:r>
    </w:p>
    <w:p>
      <w:pPr>
        <w:pStyle w:val="Heading1"/>
      </w:pPr>
      <w:r>
        <w:t>4 Safeguarding safety and recording</w:t>
      </w:r>
    </w:p>
    <w:p>
      <w:r>
        <w:t>Recognise and report signs of abuse, neglect, deterioration or environmental risk. Follow infection prevention, equipment and emergency procedures. Keep accurate records of the care provided and concerns observed, using authorised systems. Preserve confidentiality, boundaries and the right to raise a concern without unlawful detriment.</w:t>
      </w:r>
    </w:p>
    <w:p>
      <w:pPr>
        <w:pStyle w:val="Heading1"/>
      </w:pPr>
      <w:r>
        <w:t>5 Assignment requirements and supervision</w:t>
      </w:r>
    </w:p>
    <w:p>
      <w:r>
        <w:t>The booking specifies the required experience, checks, training, occupational fitness, work permission, reporting line, local induction, breaks and urgent contacts. The hirer provides safe local direction and NurseFlex verifies relevant supply requirements. Seek help whenever safe care cannot be provided within the agreed scope.</w:t>
      </w:r>
    </w:p>
    <w:p>
      <w:pPr>
        <w:pStyle w:val="Heading1"/>
      </w:pPr>
      <w:r>
        <w:t>6 Acknowledgement and changes</w:t>
      </w:r>
    </w:p>
    <w:p>
      <w:r>
        <w:t xml:space="preserve">Worker acknowledgement </w:t>
      </w:r>
      <w:r>
        <w:rPr>
          <w:color w:val="075C81"/>
        </w:rPr>
        <w:t>{{worker_acknowledgement}}</w:t>
      </w:r>
      <w:r>
        <w:t xml:space="preserve">. Hirer role approval </w:t>
      </w:r>
      <w:r>
        <w:rPr>
          <w:color w:val="075C81"/>
        </w:rPr>
        <w:t>{{hirer_role_approval}}</w:t>
      </w:r>
      <w:r>
        <w:t>. A change to clinical responsibilities or population requires review of competence, authorisation and the booking before the changed duties begin.</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R02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Assistant and Support Worker Role Description</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